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5F1" w:rsidRDefault="001765F1" w:rsidP="001765F1">
      <w:pPr>
        <w:pStyle w:val="tx"/>
        <w:shd w:val="clear" w:color="auto" w:fill="FFFFFF"/>
        <w:jc w:val="center"/>
      </w:pPr>
      <w:r>
        <w:rPr>
          <w:b/>
          <w:bCs/>
          <w:i/>
          <w:iCs/>
        </w:rPr>
        <w:t>CHAPTER VIII</w:t>
      </w:r>
    </w:p>
    <w:p w:rsidR="001765F1" w:rsidRDefault="001765F1" w:rsidP="001765F1">
      <w:pPr>
        <w:pStyle w:val="tx"/>
        <w:shd w:val="clear" w:color="auto" w:fill="FFFFFF"/>
        <w:jc w:val="center"/>
      </w:pPr>
      <w:r>
        <w:rPr>
          <w:b/>
          <w:bCs/>
        </w:rPr>
        <w:t>DECLARATION AND PAYMENT OF DIVIDEND</w:t>
      </w:r>
    </w:p>
    <w:p w:rsidR="001765F1" w:rsidRDefault="001765F1" w:rsidP="001765F1">
      <w:pPr>
        <w:pStyle w:val="tx"/>
        <w:shd w:val="clear" w:color="auto" w:fill="FFFFFF"/>
      </w:pPr>
      <w:r>
        <w:rPr>
          <w:b/>
          <w:bCs/>
        </w:rPr>
        <w:t>Declaration of dividend</w:t>
      </w:r>
    </w:p>
    <w:p w:rsidR="001765F1" w:rsidRDefault="001765F1" w:rsidP="001765F1">
      <w:pPr>
        <w:pStyle w:val="tx"/>
        <w:shd w:val="clear" w:color="auto" w:fill="FFFFFF"/>
      </w:pPr>
      <w:r>
        <w:rPr>
          <w:b/>
          <w:bCs/>
        </w:rPr>
        <w:t>123.</w:t>
      </w:r>
      <w:r>
        <w:t xml:space="preserve"> (1) No dividend shall be declared or paid by a company for any financial year except—</w:t>
      </w:r>
    </w:p>
    <w:p w:rsidR="001765F1" w:rsidRDefault="001765F1" w:rsidP="001765F1">
      <w:pPr>
        <w:pStyle w:val="indent1"/>
        <w:shd w:val="clear" w:color="auto" w:fill="FFFFFF"/>
      </w:pPr>
      <w:r>
        <w:t>(</w:t>
      </w:r>
      <w:r>
        <w:rPr>
          <w:i/>
          <w:iCs/>
        </w:rPr>
        <w:t>a</w:t>
      </w:r>
      <w:r>
        <w:t>) out of the profits of the company for that year arrived at after providing for depreciation in accordance with the provisions of sub-section (2), or out of the profits of the company for any previous financial year or years arrived at after providing for depreciation in accordance with the provisions of that sub-section and remaining undistributed, or out of both; or</w:t>
      </w:r>
    </w:p>
    <w:p w:rsidR="001765F1" w:rsidRDefault="001765F1" w:rsidP="001765F1">
      <w:pPr>
        <w:pStyle w:val="indent1"/>
        <w:shd w:val="clear" w:color="auto" w:fill="FFFFFF"/>
      </w:pPr>
      <w:r>
        <w:t>(</w:t>
      </w:r>
      <w:r>
        <w:rPr>
          <w:i/>
          <w:iCs/>
        </w:rPr>
        <w:t>b</w:t>
      </w:r>
      <w:r>
        <w:t>) out of money provided by the Central Government or a State Government for the payment of dividend by the company in pursuance of a guarantee given by that Government:</w:t>
      </w:r>
    </w:p>
    <w:p w:rsidR="001765F1" w:rsidRDefault="001765F1" w:rsidP="001765F1">
      <w:pPr>
        <w:pStyle w:val="tx"/>
        <w:shd w:val="clear" w:color="auto" w:fill="FFFFFF"/>
      </w:pPr>
      <w:r>
        <w:rPr>
          <w:b/>
          <w:bCs/>
        </w:rPr>
        <w:t>Provided</w:t>
      </w:r>
      <w:r>
        <w:t xml:space="preserve"> that a company may, before the declaration of any dividend in any financial year, transfer such percentage of its profits for that financial year as it may consider appropriate to the reserves of the company:</w:t>
      </w:r>
    </w:p>
    <w:p w:rsidR="001765F1" w:rsidRDefault="001765F1" w:rsidP="001765F1">
      <w:pPr>
        <w:pStyle w:val="tx"/>
        <w:shd w:val="clear" w:color="auto" w:fill="FFFFFF"/>
      </w:pPr>
      <w:r>
        <w:rPr>
          <w:b/>
          <w:bCs/>
        </w:rPr>
        <w:t>Provided further</w:t>
      </w:r>
      <w:r>
        <w:t xml:space="preserve"> that where, owing to inadequacy or absence of profits in any financial year, any company proposes to declare dividend out of the accumulated profits earned by it in previous years and transferred by the company to the reserves, such declaration of dividend shall not be made except in accordance with such rules as may be prescribed in this behalf:</w:t>
      </w:r>
    </w:p>
    <w:p w:rsidR="001765F1" w:rsidRDefault="001765F1" w:rsidP="001765F1">
      <w:pPr>
        <w:pStyle w:val="tx"/>
        <w:shd w:val="clear" w:color="auto" w:fill="FFFFFF"/>
      </w:pPr>
      <w:proofErr w:type="gramStart"/>
      <w:r>
        <w:rPr>
          <w:b/>
          <w:bCs/>
        </w:rPr>
        <w:t xml:space="preserve">Provided also </w:t>
      </w:r>
      <w:r>
        <w:t>that no dividend shall be declared or paid by a company from its reserves other than free reserves.</w:t>
      </w:r>
      <w:proofErr w:type="gramEnd"/>
    </w:p>
    <w:p w:rsidR="001765F1" w:rsidRDefault="001765F1" w:rsidP="001765F1">
      <w:pPr>
        <w:pStyle w:val="tx"/>
        <w:shd w:val="clear" w:color="auto" w:fill="FFFFFF"/>
      </w:pPr>
      <w:r>
        <w:t>(2) For the purposes of clause (</w:t>
      </w:r>
      <w:r>
        <w:rPr>
          <w:i/>
          <w:iCs/>
        </w:rPr>
        <w:t>a</w:t>
      </w:r>
      <w:r>
        <w:t>) of sub-section (1), depreciation shall be provided in accordance with the provisions of Schedule II.</w:t>
      </w:r>
    </w:p>
    <w:p w:rsidR="001765F1" w:rsidRDefault="001765F1" w:rsidP="001765F1">
      <w:pPr>
        <w:pStyle w:val="tx"/>
        <w:shd w:val="clear" w:color="auto" w:fill="FFFFFF"/>
      </w:pPr>
      <w:r>
        <w:t>(3) The Board of Directors of a company may declare interim dividend during any financial year out of the surplus in the profit and loss account and out of profits of the financial year in which such interim dividend is sought to be declared:</w:t>
      </w:r>
    </w:p>
    <w:p w:rsidR="001765F1" w:rsidRDefault="001765F1" w:rsidP="001765F1">
      <w:pPr>
        <w:pStyle w:val="tx"/>
        <w:shd w:val="clear" w:color="auto" w:fill="FFFFFF"/>
      </w:pPr>
      <w:r>
        <w:rPr>
          <w:b/>
          <w:bCs/>
        </w:rPr>
        <w:t>Provided</w:t>
      </w:r>
      <w:r>
        <w:t xml:space="preserve"> that in case the company has incurred loss during the current financial year up to the end of the quarter immediately preceding the date of declaration of interim dividend, such interim dividend shall not be declared at a rate higher than the average dividends declared by the company during the immediately preceding three financial years.</w:t>
      </w:r>
    </w:p>
    <w:p w:rsidR="001765F1" w:rsidRDefault="001765F1" w:rsidP="001765F1">
      <w:pPr>
        <w:pStyle w:val="tx"/>
        <w:shd w:val="clear" w:color="auto" w:fill="FFFFFF"/>
      </w:pPr>
      <w:r>
        <w:t>(4) The amount of the dividend, including interim dividend, shall be deposited in a scheduled bank in a separate account within five days from the date of declaration of such dividend.</w:t>
      </w:r>
    </w:p>
    <w:p w:rsidR="001765F1" w:rsidRDefault="001765F1" w:rsidP="001765F1">
      <w:pPr>
        <w:pStyle w:val="tx"/>
        <w:shd w:val="clear" w:color="auto" w:fill="FFFFFF"/>
      </w:pPr>
      <w:r>
        <w:t>(5) No dividend shall be paid by a company in respect of any share therein except to the registered shareholder of such share or to his order or to his banker and shall not be payable except in cash:</w:t>
      </w:r>
    </w:p>
    <w:p w:rsidR="001765F1" w:rsidRDefault="001765F1" w:rsidP="001765F1">
      <w:pPr>
        <w:pStyle w:val="tx"/>
        <w:shd w:val="clear" w:color="auto" w:fill="FFFFFF"/>
      </w:pPr>
      <w:r>
        <w:rPr>
          <w:b/>
          <w:bCs/>
        </w:rPr>
        <w:t>Provided</w:t>
      </w:r>
      <w:r>
        <w:t xml:space="preserve"> that nothing in this sub-section shall be deemed to prohibit the </w:t>
      </w:r>
      <w:proofErr w:type="spellStart"/>
      <w:r>
        <w:t>capitalisation</w:t>
      </w:r>
      <w:proofErr w:type="spellEnd"/>
      <w:r>
        <w:t xml:space="preserve"> of profits or reserves of a company for the purpose of issuing fully paid-up bonus shares or paying up any amount for the time being unpaid on any shares held by the members of the company:</w:t>
      </w:r>
    </w:p>
    <w:p w:rsidR="001765F1" w:rsidRDefault="001765F1" w:rsidP="001765F1">
      <w:pPr>
        <w:pStyle w:val="tx"/>
        <w:shd w:val="clear" w:color="auto" w:fill="FFFFFF"/>
      </w:pPr>
      <w:r>
        <w:rPr>
          <w:b/>
          <w:bCs/>
        </w:rPr>
        <w:t>Provided further</w:t>
      </w:r>
      <w:r>
        <w:t xml:space="preserve"> that any dividend payable in cash may be paid by </w:t>
      </w:r>
      <w:proofErr w:type="spellStart"/>
      <w:r>
        <w:t>cheque</w:t>
      </w:r>
      <w:proofErr w:type="spellEnd"/>
      <w:r>
        <w:t xml:space="preserve"> or warrant or in any electronic mode to the shareholder entitled to the payment of the dividend.</w:t>
      </w:r>
    </w:p>
    <w:p w:rsidR="001765F1" w:rsidRDefault="001765F1" w:rsidP="001765F1">
      <w:pPr>
        <w:pStyle w:val="tx"/>
        <w:shd w:val="clear" w:color="auto" w:fill="FFFFFF"/>
      </w:pPr>
      <w:r>
        <w:t>(6) A company which fails to comply with the provisions of sections 73 and 74 shall not, so long as such failure continues, declare any dividend on its equity shares.</w:t>
      </w:r>
    </w:p>
    <w:p w:rsidR="001765F1" w:rsidRDefault="001765F1" w:rsidP="001765F1">
      <w:pPr>
        <w:pStyle w:val="tx"/>
        <w:shd w:val="clear" w:color="auto" w:fill="FFFFFF"/>
      </w:pPr>
      <w:proofErr w:type="gramStart"/>
      <w:r>
        <w:rPr>
          <w:b/>
          <w:bCs/>
        </w:rPr>
        <w:t>Unpaid Dividend Account.</w:t>
      </w:r>
      <w:proofErr w:type="gramEnd"/>
    </w:p>
    <w:p w:rsidR="001765F1" w:rsidRDefault="001765F1" w:rsidP="001765F1">
      <w:pPr>
        <w:pStyle w:val="tx"/>
        <w:shd w:val="clear" w:color="auto" w:fill="FFFFFF"/>
      </w:pPr>
      <w:r>
        <w:rPr>
          <w:b/>
          <w:bCs/>
        </w:rPr>
        <w:lastRenderedPageBreak/>
        <w:t>124.</w:t>
      </w:r>
      <w:r>
        <w:t xml:space="preserve"> (1) Where a dividend has been declared by a company but has not been paid or claimed within thirty days from the date of the declaration to any shareholder entitled to the payment of the dividend, the company shall, within seven days from the date of expiry of the said period of thirty days, transfer the total amount of dividend which remains unpaid or unclaimed to a special account to be opened by the company in that behalf in any scheduled bank to be called the Unpaid Dividend Account.</w:t>
      </w:r>
    </w:p>
    <w:p w:rsidR="001765F1" w:rsidRDefault="001765F1" w:rsidP="001765F1">
      <w:pPr>
        <w:pStyle w:val="tx"/>
        <w:shd w:val="clear" w:color="auto" w:fill="FFFFFF"/>
      </w:pPr>
      <w:r>
        <w:t>(2) The company shall, within a period of ninety days of making any transfer of an amount under sub-section (1) to the Unpaid Dividend Account, prepare a statement containing the names, their last known addresses and the unpaid dividend to be paid to each person and place it on the web-site of the company, if any, and also on any other web-site approved by the Central Government for this purpose, in such form, manner and other particulars as may be prescribed.</w:t>
      </w:r>
    </w:p>
    <w:p w:rsidR="001765F1" w:rsidRDefault="001765F1" w:rsidP="001765F1">
      <w:pPr>
        <w:pStyle w:val="tx"/>
        <w:shd w:val="clear" w:color="auto" w:fill="FFFFFF"/>
      </w:pPr>
      <w:r>
        <w:t xml:space="preserve">(3) If any default is made in transferring the total amount referred to in sub-section (1) or any part thereof to the Unpaid Dividend Account of the company, it shall pay, from the date of such default, interest on so much of the amount as has not been transferred to the said account, at the rate of twelve per cent per annum and the interest accruing on such amount shall </w:t>
      </w:r>
      <w:proofErr w:type="spellStart"/>
      <w:r>
        <w:t>enure</w:t>
      </w:r>
      <w:proofErr w:type="spellEnd"/>
      <w:r>
        <w:t xml:space="preserve"> to the benefit of the members of the company in proportion to the amount remaining unpaid to them.</w:t>
      </w:r>
    </w:p>
    <w:p w:rsidR="001765F1" w:rsidRDefault="001765F1" w:rsidP="001765F1">
      <w:pPr>
        <w:pStyle w:val="tx"/>
        <w:shd w:val="clear" w:color="auto" w:fill="FFFFFF"/>
      </w:pPr>
      <w:r>
        <w:t>(4) Any person claiming to be entitled to any money transferred under sub-section (1) to the Unpaid Dividend Account of the company may apply to the company for payment of the money claimed.</w:t>
      </w:r>
    </w:p>
    <w:p w:rsidR="001765F1" w:rsidRDefault="001765F1" w:rsidP="001765F1">
      <w:pPr>
        <w:pStyle w:val="tx"/>
        <w:shd w:val="clear" w:color="auto" w:fill="FFFFFF"/>
      </w:pPr>
      <w:r>
        <w:t>(5) Any money transferred to the Unpaid Dividend Account of a company in pursuance of this section which remains unpaid or unclaimed for a period of seven years from the date of such transfer shall be transferred by the company along with interest accrued, if any, thereon to the Fund established under sub-section (1) of section 125 and the company shall send a statement in the prescribed form of the details of such transfer to the authority which administers the said Fund and that authority shall issue a receipt to the company as evidence of such transfer.</w:t>
      </w:r>
    </w:p>
    <w:p w:rsidR="001765F1" w:rsidRDefault="001765F1" w:rsidP="001765F1">
      <w:pPr>
        <w:pStyle w:val="tx"/>
        <w:shd w:val="clear" w:color="auto" w:fill="FFFFFF"/>
      </w:pPr>
      <w:r>
        <w:t>(6) All shares in respect of which unpaid or unclaimed dividend has been transferred under sub-section (5) shall also be transferred by the company in the name of Investor Education and Protection Fund along with a statement containing such details as may be prescribed:</w:t>
      </w:r>
    </w:p>
    <w:p w:rsidR="001765F1" w:rsidRDefault="001765F1" w:rsidP="001765F1">
      <w:pPr>
        <w:pStyle w:val="tx"/>
        <w:shd w:val="clear" w:color="auto" w:fill="FFFFFF"/>
      </w:pPr>
      <w:r>
        <w:rPr>
          <w:b/>
          <w:bCs/>
        </w:rPr>
        <w:t>Provided</w:t>
      </w:r>
      <w:r>
        <w:t xml:space="preserve"> that any claimant of shares transferred above shall be entitled to claim the transfer of shares from Investor Education and Protection Fund in accordance with such procedure and on submission of such documents as may be prescribed.</w:t>
      </w:r>
    </w:p>
    <w:p w:rsidR="001765F1" w:rsidRDefault="001765F1" w:rsidP="001765F1">
      <w:pPr>
        <w:pStyle w:val="tx"/>
        <w:shd w:val="clear" w:color="auto" w:fill="FFFFFF"/>
      </w:pPr>
      <w:r>
        <w:t>(7) If a company fails to comply with any of the requirements of this section, the company shall be punishable with fine which shall not be less than five lakh rupees but which may extend to twenty-five lakh rupees and every officer of the company who is in default shall be punishable with fine which shall not be less than one lakh rupees but which may extend to five lakh rupees.</w:t>
      </w:r>
    </w:p>
    <w:p w:rsidR="001765F1" w:rsidRDefault="001765F1" w:rsidP="001765F1">
      <w:pPr>
        <w:pStyle w:val="tx"/>
        <w:shd w:val="clear" w:color="auto" w:fill="FFFFFF"/>
      </w:pPr>
      <w:proofErr w:type="gramStart"/>
      <w:r>
        <w:rPr>
          <w:b/>
          <w:bCs/>
        </w:rPr>
        <w:t>Investor Education and Protection Fund.</w:t>
      </w:r>
      <w:proofErr w:type="gramEnd"/>
    </w:p>
    <w:p w:rsidR="001765F1" w:rsidRDefault="001765F1" w:rsidP="001765F1">
      <w:pPr>
        <w:pStyle w:val="tx"/>
        <w:shd w:val="clear" w:color="auto" w:fill="FFFFFF"/>
      </w:pPr>
      <w:r>
        <w:rPr>
          <w:b/>
          <w:bCs/>
        </w:rPr>
        <w:t>125.</w:t>
      </w:r>
      <w:r>
        <w:t xml:space="preserve"> (1) The Central Government shall establish a Fund to be called the Investor Education and Protection Fund (herein referred to as the Fund).</w:t>
      </w:r>
    </w:p>
    <w:p w:rsidR="001765F1" w:rsidRDefault="001765F1" w:rsidP="001765F1">
      <w:pPr>
        <w:pStyle w:val="tx"/>
        <w:shd w:val="clear" w:color="auto" w:fill="FFFFFF"/>
      </w:pPr>
      <w:r>
        <w:t>(2) There shall be credited to the Fund—</w:t>
      </w:r>
    </w:p>
    <w:p w:rsidR="001765F1" w:rsidRDefault="001765F1" w:rsidP="001765F1">
      <w:pPr>
        <w:pStyle w:val="indent1"/>
        <w:shd w:val="clear" w:color="auto" w:fill="FFFFFF"/>
      </w:pPr>
      <w:r>
        <w:t>(</w:t>
      </w:r>
      <w:r>
        <w:rPr>
          <w:i/>
          <w:iCs/>
        </w:rPr>
        <w:t>a</w:t>
      </w:r>
      <w:r>
        <w:t xml:space="preserve">) </w:t>
      </w:r>
      <w:proofErr w:type="gramStart"/>
      <w:r>
        <w:t>the</w:t>
      </w:r>
      <w:proofErr w:type="gramEnd"/>
      <w:r>
        <w:t xml:space="preserve"> amount given by the Central Government by way of grants after due appropriation made by Parliament by law in this behalf for being </w:t>
      </w:r>
      <w:proofErr w:type="spellStart"/>
      <w:r>
        <w:t>utilised</w:t>
      </w:r>
      <w:proofErr w:type="spellEnd"/>
      <w:r>
        <w:t xml:space="preserve"> for the purposes of the Fund;</w:t>
      </w:r>
    </w:p>
    <w:p w:rsidR="001765F1" w:rsidRDefault="001765F1" w:rsidP="001765F1">
      <w:pPr>
        <w:pStyle w:val="indent1"/>
        <w:shd w:val="clear" w:color="auto" w:fill="FFFFFF"/>
      </w:pPr>
      <w:r>
        <w:lastRenderedPageBreak/>
        <w:t>(</w:t>
      </w:r>
      <w:r>
        <w:rPr>
          <w:i/>
          <w:iCs/>
        </w:rPr>
        <w:t>b</w:t>
      </w:r>
      <w:r>
        <w:t>) donations given to the Fund by the Central Government, State Governments, companies or any other institution for the purposes of the Fund;</w:t>
      </w:r>
    </w:p>
    <w:p w:rsidR="001765F1" w:rsidRDefault="001765F1" w:rsidP="001765F1">
      <w:pPr>
        <w:pStyle w:val="indent1"/>
        <w:shd w:val="clear" w:color="auto" w:fill="FFFFFF"/>
      </w:pPr>
      <w:r>
        <w:t>(</w:t>
      </w:r>
      <w:r>
        <w:rPr>
          <w:i/>
          <w:iCs/>
        </w:rPr>
        <w:t>c</w:t>
      </w:r>
      <w:r>
        <w:t xml:space="preserve">) </w:t>
      </w:r>
      <w:proofErr w:type="gramStart"/>
      <w:r>
        <w:t>the</w:t>
      </w:r>
      <w:proofErr w:type="gramEnd"/>
      <w:r>
        <w:t xml:space="preserve"> amount in the Unpaid Dividend Account of companies transferred to the Fund under sub-section (5) of section 124;</w:t>
      </w:r>
    </w:p>
    <w:p w:rsidR="001765F1" w:rsidRDefault="001765F1" w:rsidP="001765F1">
      <w:pPr>
        <w:pStyle w:val="indent1"/>
        <w:shd w:val="clear" w:color="auto" w:fill="FFFFFF"/>
      </w:pPr>
      <w:r>
        <w:t>(</w:t>
      </w:r>
      <w:r>
        <w:rPr>
          <w:i/>
          <w:iCs/>
        </w:rPr>
        <w:t>d</w:t>
      </w:r>
      <w:r>
        <w:t>) the amount in the general revenue account of the Central Government which had been transferred to that account under sub-section (5) of section 205A of the Companies Act, 1956 (1 of 1956), as it stood immediately before the commencement of the Companies (Amendment) Act, 1999 (21 of 1999), and remaining unpaid or unclaimed on the commencement of this Act;</w:t>
      </w:r>
    </w:p>
    <w:p w:rsidR="001765F1" w:rsidRDefault="001765F1" w:rsidP="001765F1">
      <w:pPr>
        <w:pStyle w:val="indent1"/>
        <w:shd w:val="clear" w:color="auto" w:fill="FFFFFF"/>
      </w:pPr>
      <w:r>
        <w:t>(</w:t>
      </w:r>
      <w:r>
        <w:rPr>
          <w:i/>
          <w:iCs/>
        </w:rPr>
        <w:t>e</w:t>
      </w:r>
      <w:r>
        <w:t xml:space="preserve">) </w:t>
      </w:r>
      <w:proofErr w:type="gramStart"/>
      <w:r>
        <w:t>the</w:t>
      </w:r>
      <w:proofErr w:type="gramEnd"/>
      <w:r>
        <w:t xml:space="preserve"> amount lying in the Investor Education and Protection Fund under section 205C of the Companies Act, 1956 (1 of 1956);</w:t>
      </w:r>
    </w:p>
    <w:p w:rsidR="001765F1" w:rsidRDefault="001765F1" w:rsidP="001765F1">
      <w:pPr>
        <w:pStyle w:val="indent1"/>
        <w:shd w:val="clear" w:color="auto" w:fill="FFFFFF"/>
      </w:pPr>
      <w:r>
        <w:t>(</w:t>
      </w:r>
      <w:r>
        <w:rPr>
          <w:i/>
          <w:iCs/>
        </w:rPr>
        <w:t>f</w:t>
      </w:r>
      <w:r>
        <w:t xml:space="preserve">) </w:t>
      </w:r>
      <w:proofErr w:type="gramStart"/>
      <w:r>
        <w:t>the</w:t>
      </w:r>
      <w:proofErr w:type="gramEnd"/>
      <w:r>
        <w:t xml:space="preserve"> interest or other income received out of investments made from the Fund;</w:t>
      </w:r>
    </w:p>
    <w:p w:rsidR="001765F1" w:rsidRDefault="001765F1" w:rsidP="001765F1">
      <w:pPr>
        <w:pStyle w:val="indent1"/>
        <w:shd w:val="clear" w:color="auto" w:fill="FFFFFF"/>
      </w:pPr>
      <w:r>
        <w:t>(</w:t>
      </w:r>
      <w:r>
        <w:rPr>
          <w:i/>
          <w:iCs/>
        </w:rPr>
        <w:t>g</w:t>
      </w:r>
      <w:r>
        <w:t xml:space="preserve">) </w:t>
      </w:r>
      <w:proofErr w:type="gramStart"/>
      <w:r>
        <w:t>the</w:t>
      </w:r>
      <w:proofErr w:type="gramEnd"/>
      <w:r>
        <w:t xml:space="preserve"> amount received under sub-section (4) of section 38;</w:t>
      </w:r>
    </w:p>
    <w:p w:rsidR="001765F1" w:rsidRDefault="001765F1" w:rsidP="001765F1">
      <w:pPr>
        <w:pStyle w:val="indent1"/>
        <w:shd w:val="clear" w:color="auto" w:fill="FFFFFF"/>
      </w:pPr>
      <w:r>
        <w:t>(</w:t>
      </w:r>
      <w:r>
        <w:rPr>
          <w:i/>
          <w:iCs/>
        </w:rPr>
        <w:t>h</w:t>
      </w:r>
      <w:r>
        <w:t xml:space="preserve">) </w:t>
      </w:r>
      <w:proofErr w:type="gramStart"/>
      <w:r>
        <w:t>the</w:t>
      </w:r>
      <w:proofErr w:type="gramEnd"/>
      <w:r>
        <w:t xml:space="preserve"> application money received by companies for allotment of any securities and due for refund;</w:t>
      </w:r>
    </w:p>
    <w:p w:rsidR="001765F1" w:rsidRDefault="001765F1" w:rsidP="001765F1">
      <w:pPr>
        <w:pStyle w:val="indent1"/>
        <w:shd w:val="clear" w:color="auto" w:fill="FFFFFF"/>
      </w:pPr>
      <w:r>
        <w:t>(</w:t>
      </w:r>
      <w:r>
        <w:rPr>
          <w:i/>
          <w:iCs/>
        </w:rPr>
        <w:t>i</w:t>
      </w:r>
      <w:r>
        <w:t xml:space="preserve">) </w:t>
      </w:r>
      <w:proofErr w:type="gramStart"/>
      <w:r>
        <w:t>matured</w:t>
      </w:r>
      <w:proofErr w:type="gramEnd"/>
      <w:r>
        <w:t xml:space="preserve"> deposits with companies other than banking companies;</w:t>
      </w:r>
    </w:p>
    <w:p w:rsidR="001765F1" w:rsidRDefault="001765F1" w:rsidP="001765F1">
      <w:pPr>
        <w:pStyle w:val="indent1"/>
        <w:shd w:val="clear" w:color="auto" w:fill="FFFFFF"/>
      </w:pPr>
      <w:r>
        <w:t>(</w:t>
      </w:r>
      <w:proofErr w:type="gramStart"/>
      <w:r>
        <w:rPr>
          <w:i/>
          <w:iCs/>
        </w:rPr>
        <w:t>j</w:t>
      </w:r>
      <w:proofErr w:type="gramEnd"/>
      <w:r>
        <w:t>) matured debentures with companies;</w:t>
      </w:r>
    </w:p>
    <w:p w:rsidR="001765F1" w:rsidRDefault="001765F1" w:rsidP="001765F1">
      <w:pPr>
        <w:pStyle w:val="indent1"/>
        <w:shd w:val="clear" w:color="auto" w:fill="FFFFFF"/>
      </w:pPr>
      <w:r>
        <w:t>(</w:t>
      </w:r>
      <w:r>
        <w:rPr>
          <w:i/>
          <w:iCs/>
        </w:rPr>
        <w:t>k</w:t>
      </w:r>
      <w:r>
        <w:t xml:space="preserve">) </w:t>
      </w:r>
      <w:proofErr w:type="gramStart"/>
      <w:r>
        <w:t>interest</w:t>
      </w:r>
      <w:proofErr w:type="gramEnd"/>
      <w:r>
        <w:t xml:space="preserve"> accrued on the amounts referred to in clauses (</w:t>
      </w:r>
      <w:r>
        <w:rPr>
          <w:i/>
          <w:iCs/>
        </w:rPr>
        <w:t>h</w:t>
      </w:r>
      <w:r>
        <w:t>) to (</w:t>
      </w:r>
      <w:r>
        <w:rPr>
          <w:i/>
          <w:iCs/>
        </w:rPr>
        <w:t>j</w:t>
      </w:r>
      <w:r>
        <w:t>);</w:t>
      </w:r>
    </w:p>
    <w:p w:rsidR="001765F1" w:rsidRDefault="001765F1" w:rsidP="001765F1">
      <w:pPr>
        <w:pStyle w:val="indent1"/>
        <w:shd w:val="clear" w:color="auto" w:fill="FFFFFF"/>
      </w:pPr>
      <w:r>
        <w:t>(</w:t>
      </w:r>
      <w:r>
        <w:rPr>
          <w:i/>
          <w:iCs/>
        </w:rPr>
        <w:t>l</w:t>
      </w:r>
      <w:r>
        <w:t xml:space="preserve">) </w:t>
      </w:r>
      <w:proofErr w:type="gramStart"/>
      <w:r>
        <w:t>sale</w:t>
      </w:r>
      <w:proofErr w:type="gramEnd"/>
      <w:r>
        <w:t xml:space="preserve"> proceeds of fractional shares arising out of issuance of bonus shares, merger and amalgamation for seven or more years;</w:t>
      </w:r>
    </w:p>
    <w:p w:rsidR="001765F1" w:rsidRDefault="001765F1" w:rsidP="001765F1">
      <w:pPr>
        <w:pStyle w:val="indent1"/>
        <w:shd w:val="clear" w:color="auto" w:fill="FFFFFF"/>
      </w:pPr>
      <w:r>
        <w:t>(</w:t>
      </w:r>
      <w:r>
        <w:rPr>
          <w:i/>
          <w:iCs/>
        </w:rPr>
        <w:t>m</w:t>
      </w:r>
      <w:r>
        <w:t xml:space="preserve">) </w:t>
      </w:r>
      <w:proofErr w:type="gramStart"/>
      <w:r>
        <w:t>redemption</w:t>
      </w:r>
      <w:proofErr w:type="gramEnd"/>
      <w:r>
        <w:t xml:space="preserve"> amount of preference shares remaining unpaid or unclaimed for seven or more years; and</w:t>
      </w:r>
    </w:p>
    <w:p w:rsidR="001765F1" w:rsidRDefault="001765F1" w:rsidP="001765F1">
      <w:pPr>
        <w:pStyle w:val="indent1"/>
        <w:shd w:val="clear" w:color="auto" w:fill="FFFFFF"/>
      </w:pPr>
      <w:r>
        <w:t>(</w:t>
      </w:r>
      <w:r>
        <w:rPr>
          <w:i/>
          <w:iCs/>
        </w:rPr>
        <w:t>n</w:t>
      </w:r>
      <w:r>
        <w:t xml:space="preserve">) </w:t>
      </w:r>
      <w:proofErr w:type="gramStart"/>
      <w:r>
        <w:t>such</w:t>
      </w:r>
      <w:proofErr w:type="gramEnd"/>
      <w:r>
        <w:t xml:space="preserve"> other amount as may be prescribed:</w:t>
      </w:r>
    </w:p>
    <w:p w:rsidR="001765F1" w:rsidRDefault="001765F1" w:rsidP="001765F1">
      <w:pPr>
        <w:pStyle w:val="tx"/>
        <w:shd w:val="clear" w:color="auto" w:fill="FFFFFF"/>
      </w:pPr>
      <w:r>
        <w:rPr>
          <w:b/>
          <w:bCs/>
        </w:rPr>
        <w:t>Provided</w:t>
      </w:r>
      <w:r>
        <w:t xml:space="preserve"> that no such amount referred to in clauses (</w:t>
      </w:r>
      <w:r>
        <w:rPr>
          <w:i/>
          <w:iCs/>
        </w:rPr>
        <w:t>h</w:t>
      </w:r>
      <w:r>
        <w:t>) to (</w:t>
      </w:r>
      <w:r>
        <w:rPr>
          <w:i/>
          <w:iCs/>
        </w:rPr>
        <w:t>j</w:t>
      </w:r>
      <w:r>
        <w:t>) shall form part of the Fund unless such amount has remained unclaimed and unpaid for a period of seven years from the date it became due for payment.</w:t>
      </w:r>
    </w:p>
    <w:p w:rsidR="001765F1" w:rsidRDefault="001765F1" w:rsidP="001765F1">
      <w:pPr>
        <w:pStyle w:val="tx"/>
        <w:shd w:val="clear" w:color="auto" w:fill="FFFFFF"/>
      </w:pPr>
      <w:r>
        <w:t xml:space="preserve">(3) The Fund shall be </w:t>
      </w:r>
      <w:proofErr w:type="spellStart"/>
      <w:r>
        <w:t>utilised</w:t>
      </w:r>
      <w:proofErr w:type="spellEnd"/>
      <w:r>
        <w:t xml:space="preserve"> for—</w:t>
      </w:r>
    </w:p>
    <w:p w:rsidR="001765F1" w:rsidRDefault="001765F1" w:rsidP="001765F1">
      <w:pPr>
        <w:pStyle w:val="indent1"/>
        <w:shd w:val="clear" w:color="auto" w:fill="FFFFFF"/>
      </w:pPr>
      <w:r>
        <w:t>(</w:t>
      </w:r>
      <w:r>
        <w:rPr>
          <w:i/>
          <w:iCs/>
        </w:rPr>
        <w:t>a</w:t>
      </w:r>
      <w:r>
        <w:t xml:space="preserve">) </w:t>
      </w:r>
      <w:proofErr w:type="gramStart"/>
      <w:r>
        <w:t>the</w:t>
      </w:r>
      <w:proofErr w:type="gramEnd"/>
      <w:r>
        <w:t xml:space="preserve"> refund in respect of unclaimed dividends, matured deposits, matured debentures, the application money due for refund and interest thereon;</w:t>
      </w:r>
    </w:p>
    <w:p w:rsidR="001765F1" w:rsidRDefault="001765F1" w:rsidP="001765F1">
      <w:pPr>
        <w:pStyle w:val="indent1"/>
        <w:shd w:val="clear" w:color="auto" w:fill="FFFFFF"/>
      </w:pPr>
      <w:r>
        <w:t>(</w:t>
      </w:r>
      <w:r>
        <w:rPr>
          <w:i/>
          <w:iCs/>
        </w:rPr>
        <w:t>b</w:t>
      </w:r>
      <w:r>
        <w:t xml:space="preserve">) </w:t>
      </w:r>
      <w:proofErr w:type="gramStart"/>
      <w:r>
        <w:t>promotion</w:t>
      </w:r>
      <w:proofErr w:type="gramEnd"/>
      <w:r>
        <w:t xml:space="preserve"> of investors' education, awareness and protection;</w:t>
      </w:r>
    </w:p>
    <w:p w:rsidR="001765F1" w:rsidRDefault="001765F1" w:rsidP="001765F1">
      <w:pPr>
        <w:pStyle w:val="indent1"/>
        <w:shd w:val="clear" w:color="auto" w:fill="FFFFFF"/>
      </w:pPr>
      <w:r>
        <w:t>(</w:t>
      </w:r>
      <w:r>
        <w:rPr>
          <w:i/>
          <w:iCs/>
        </w:rPr>
        <w:t>c</w:t>
      </w:r>
      <w:r>
        <w:t>) distribution of any disgorged amount among eligible and identifiable applicants for shares or debentures, shareholders, debenture-holders or depositors who have suffered losses due to wrong actions by any person, in accordance with the orders made by the Court which had ordered disgorgement;</w:t>
      </w:r>
    </w:p>
    <w:p w:rsidR="001765F1" w:rsidRDefault="001765F1" w:rsidP="001765F1">
      <w:pPr>
        <w:pStyle w:val="indent1"/>
        <w:shd w:val="clear" w:color="auto" w:fill="FFFFFF"/>
      </w:pPr>
      <w:r>
        <w:t>(</w:t>
      </w:r>
      <w:r>
        <w:rPr>
          <w:i/>
          <w:iCs/>
        </w:rPr>
        <w:t>d</w:t>
      </w:r>
      <w:r>
        <w:t>) reimbursement of legal expenses incurred in pursuing class action suits under sections 37 and 245 by members, debenture-holders or depositors as may be sanctioned by the Tribunal; and</w:t>
      </w:r>
    </w:p>
    <w:p w:rsidR="001765F1" w:rsidRDefault="001765F1" w:rsidP="001765F1">
      <w:pPr>
        <w:pStyle w:val="indent1"/>
        <w:shd w:val="clear" w:color="auto" w:fill="FFFFFF"/>
      </w:pPr>
      <w:r>
        <w:t>(</w:t>
      </w:r>
      <w:r>
        <w:rPr>
          <w:i/>
          <w:iCs/>
        </w:rPr>
        <w:t>e</w:t>
      </w:r>
      <w:r>
        <w:t xml:space="preserve">) </w:t>
      </w:r>
      <w:proofErr w:type="gramStart"/>
      <w:r>
        <w:t>any</w:t>
      </w:r>
      <w:proofErr w:type="gramEnd"/>
      <w:r>
        <w:t xml:space="preserve"> other purpose incidental thereto,</w:t>
      </w:r>
    </w:p>
    <w:p w:rsidR="001765F1" w:rsidRDefault="001765F1" w:rsidP="001765F1">
      <w:pPr>
        <w:pStyle w:val="tx"/>
        <w:shd w:val="clear" w:color="auto" w:fill="FFFFFF"/>
      </w:pPr>
      <w:proofErr w:type="gramStart"/>
      <w:r>
        <w:t>in</w:t>
      </w:r>
      <w:proofErr w:type="gramEnd"/>
      <w:r>
        <w:t xml:space="preserve"> accordance with such rules as may be prescribed:</w:t>
      </w:r>
    </w:p>
    <w:p w:rsidR="001765F1" w:rsidRDefault="001765F1" w:rsidP="001765F1">
      <w:pPr>
        <w:pStyle w:val="tx"/>
        <w:shd w:val="clear" w:color="auto" w:fill="FFFFFF"/>
      </w:pPr>
      <w:r>
        <w:rPr>
          <w:b/>
          <w:bCs/>
        </w:rPr>
        <w:t>Provided</w:t>
      </w:r>
      <w:r>
        <w:t xml:space="preserve"> that the person whose amounts referred to in clauses (</w:t>
      </w:r>
      <w:r>
        <w:rPr>
          <w:i/>
          <w:iCs/>
        </w:rPr>
        <w:t>a</w:t>
      </w:r>
      <w:r>
        <w:t>) to (</w:t>
      </w:r>
      <w:r>
        <w:rPr>
          <w:i/>
          <w:iCs/>
        </w:rPr>
        <w:t>d</w:t>
      </w:r>
      <w:r>
        <w:t>) of sub-section (2) of section 205C transferred to Investor Education and Protection Fund, after the expiry of the period of seven years as per provisions of the Companies Act, 1956 (1 of 1956), shall be entitled to get refund out of the fund in respect of such claims in accordance with rules made under this section.</w:t>
      </w:r>
    </w:p>
    <w:p w:rsidR="001765F1" w:rsidRDefault="001765F1" w:rsidP="001765F1">
      <w:pPr>
        <w:pStyle w:val="tx"/>
        <w:shd w:val="clear" w:color="auto" w:fill="FFFFFF"/>
      </w:pPr>
      <w:r>
        <w:rPr>
          <w:i/>
          <w:iCs/>
        </w:rPr>
        <w:lastRenderedPageBreak/>
        <w:t>Explanation.—</w:t>
      </w:r>
      <w:proofErr w:type="gramStart"/>
      <w:r>
        <w:t>The</w:t>
      </w:r>
      <w:proofErr w:type="gramEnd"/>
      <w:r>
        <w:t xml:space="preserve"> disgorged amount refers to the amount received through disgorgement or disposal of securities.</w:t>
      </w:r>
    </w:p>
    <w:p w:rsidR="001765F1" w:rsidRDefault="001765F1" w:rsidP="001765F1">
      <w:pPr>
        <w:pStyle w:val="tx"/>
        <w:shd w:val="clear" w:color="auto" w:fill="FFFFFF"/>
      </w:pPr>
      <w:r>
        <w:t>(4) Any person claiming to be entitled to the amount referred in sub-section (2) may apply to the authority constituted under sub-section (5) for the payment of the money claimed.</w:t>
      </w:r>
    </w:p>
    <w:p w:rsidR="001765F1" w:rsidRDefault="001765F1" w:rsidP="001765F1">
      <w:pPr>
        <w:pStyle w:val="tx"/>
        <w:shd w:val="clear" w:color="auto" w:fill="FFFFFF"/>
      </w:pPr>
      <w:r>
        <w:t>(5) The Central Government shall constitute, by notification, an authority for administration of the Fund consisting of a chairperson and such other members, not exceeding seven and a chief executive officer, as the Central Government may appoint.</w:t>
      </w:r>
    </w:p>
    <w:p w:rsidR="001765F1" w:rsidRDefault="001765F1" w:rsidP="001765F1">
      <w:pPr>
        <w:pStyle w:val="tx"/>
        <w:shd w:val="clear" w:color="auto" w:fill="FFFFFF"/>
      </w:pPr>
      <w:r>
        <w:t>(6) The manner of administration of the Fund, appointment of chairperson, members and chief executive officer, holding of meetings of the authority shall be in accordance with such rules as may be prescribed.</w:t>
      </w:r>
    </w:p>
    <w:p w:rsidR="001765F1" w:rsidRDefault="001765F1" w:rsidP="001765F1">
      <w:pPr>
        <w:pStyle w:val="tx"/>
        <w:shd w:val="clear" w:color="auto" w:fill="FFFFFF"/>
      </w:pPr>
      <w:r>
        <w:t>(7) The Central Government may provide to the authority such offices, officers, employees and other resources in accordance with such rules as may be prescribed.</w:t>
      </w:r>
    </w:p>
    <w:p w:rsidR="001765F1" w:rsidRDefault="001765F1" w:rsidP="001765F1">
      <w:pPr>
        <w:pStyle w:val="tx"/>
        <w:shd w:val="clear" w:color="auto" w:fill="FFFFFF"/>
      </w:pPr>
      <w:r>
        <w:t>(8) The authority shall administer the Fund and maintain separate accounts and other relevant records in relation to the Fund in such form as may be prescribed after consultation with the Comptroller and Auditor-General of India.</w:t>
      </w:r>
    </w:p>
    <w:p w:rsidR="001765F1" w:rsidRDefault="001765F1" w:rsidP="001765F1">
      <w:pPr>
        <w:pStyle w:val="tx"/>
        <w:shd w:val="clear" w:color="auto" w:fill="FFFFFF"/>
      </w:pPr>
      <w:r>
        <w:t>(9) It shall be competent for the authority constituted under sub-section (5) to spend money out of the Fund for carrying out the objects specified in sub-section (3).</w:t>
      </w:r>
    </w:p>
    <w:p w:rsidR="001765F1" w:rsidRDefault="001765F1" w:rsidP="001765F1">
      <w:pPr>
        <w:pStyle w:val="tx"/>
        <w:shd w:val="clear" w:color="auto" w:fill="FFFFFF"/>
      </w:pPr>
      <w:r>
        <w:t>(10) The accounts of the Fund shall be audited by the Comptroller and Auditor- General of India at such intervals as may be specified by him and such audited accounts together with the audit report thereon shall be forwarded annually by the authority to the Central Government.</w:t>
      </w:r>
    </w:p>
    <w:p w:rsidR="001765F1" w:rsidRDefault="001765F1" w:rsidP="001765F1">
      <w:pPr>
        <w:pStyle w:val="tx"/>
        <w:shd w:val="clear" w:color="auto" w:fill="FFFFFF"/>
      </w:pPr>
      <w:r>
        <w:t>(11) The authority shall prepare in such form and at such time for each financial year as may be prescribed its annual report giving a full account of its activities during the financial year and forward a copy thereof to the Central Government and the Central Government shall cause the annual report and the audit report given by the Comptroller and Auditor-General of India to be laid before each House of Parliament.</w:t>
      </w:r>
    </w:p>
    <w:p w:rsidR="001765F1" w:rsidRDefault="001765F1" w:rsidP="001765F1">
      <w:pPr>
        <w:pStyle w:val="tx"/>
        <w:shd w:val="clear" w:color="auto" w:fill="FFFFFF"/>
      </w:pPr>
      <w:r>
        <w:rPr>
          <w:b/>
          <w:bCs/>
        </w:rPr>
        <w:t>Right to dividend, rights shares and bonus shares to be held in abeyance pending registration of transfer of shares.</w:t>
      </w:r>
    </w:p>
    <w:p w:rsidR="001765F1" w:rsidRDefault="001765F1" w:rsidP="001765F1">
      <w:pPr>
        <w:pStyle w:val="tx"/>
        <w:shd w:val="clear" w:color="auto" w:fill="FFFFFF"/>
      </w:pPr>
      <w:r>
        <w:rPr>
          <w:b/>
          <w:bCs/>
        </w:rPr>
        <w:t>126.</w:t>
      </w:r>
      <w:r>
        <w:t xml:space="preserve"> Where any instrument of transfer of shares has been delivered to any company for registration and the transfer of such shares has not been registered by the company, it shall, notwithstanding anything contained in any other provision of this Act,—</w:t>
      </w:r>
    </w:p>
    <w:p w:rsidR="001765F1" w:rsidRDefault="001765F1" w:rsidP="001765F1">
      <w:pPr>
        <w:pStyle w:val="indent1"/>
        <w:shd w:val="clear" w:color="auto" w:fill="FFFFFF"/>
      </w:pPr>
      <w:r>
        <w:t>(</w:t>
      </w:r>
      <w:r>
        <w:rPr>
          <w:i/>
          <w:iCs/>
        </w:rPr>
        <w:t>a</w:t>
      </w:r>
      <w:r>
        <w:t xml:space="preserve">) transfer the dividend in relation to such shares to the Unpaid Dividend Account referred to in section 124 unless the company is </w:t>
      </w:r>
      <w:proofErr w:type="spellStart"/>
      <w:r>
        <w:t>authorised</w:t>
      </w:r>
      <w:proofErr w:type="spellEnd"/>
      <w:r>
        <w:t xml:space="preserve"> by the registered holder of such shares in writing to pay such dividend to the transferee specified in such instrument of transfer; and</w:t>
      </w:r>
    </w:p>
    <w:p w:rsidR="001765F1" w:rsidRDefault="001765F1" w:rsidP="001765F1">
      <w:pPr>
        <w:pStyle w:val="indent1"/>
        <w:shd w:val="clear" w:color="auto" w:fill="FFFFFF"/>
      </w:pPr>
      <w:r>
        <w:t>(</w:t>
      </w:r>
      <w:r>
        <w:rPr>
          <w:i/>
          <w:iCs/>
        </w:rPr>
        <w:t>b</w:t>
      </w:r>
      <w:r>
        <w:t>) keep in abeyance in relation to such shares, any offer of rights shares under clause (</w:t>
      </w:r>
      <w:r>
        <w:rPr>
          <w:i/>
          <w:iCs/>
        </w:rPr>
        <w:t>a</w:t>
      </w:r>
      <w:r>
        <w:t>) of sub-section (1) of section 62 and any issue of fully paid-up bonus shares in pursuance of first proviso to sub-section (</w:t>
      </w:r>
      <w:r>
        <w:rPr>
          <w:i/>
          <w:iCs/>
        </w:rPr>
        <w:t>5</w:t>
      </w:r>
      <w:r>
        <w:t>) of section 123.</w:t>
      </w:r>
    </w:p>
    <w:p w:rsidR="001765F1" w:rsidRDefault="001765F1" w:rsidP="001765F1">
      <w:pPr>
        <w:pStyle w:val="tx"/>
        <w:shd w:val="clear" w:color="auto" w:fill="FFFFFF"/>
      </w:pPr>
      <w:proofErr w:type="gramStart"/>
      <w:r>
        <w:rPr>
          <w:b/>
          <w:bCs/>
        </w:rPr>
        <w:t>Punishment for failure to distribute dividends.</w:t>
      </w:r>
      <w:proofErr w:type="gramEnd"/>
    </w:p>
    <w:p w:rsidR="001765F1" w:rsidRDefault="001765F1" w:rsidP="001765F1">
      <w:pPr>
        <w:pStyle w:val="tx"/>
        <w:shd w:val="clear" w:color="auto" w:fill="FFFFFF"/>
      </w:pPr>
      <w:r>
        <w:rPr>
          <w:b/>
          <w:bCs/>
        </w:rPr>
        <w:t>127.</w:t>
      </w:r>
      <w:r>
        <w:t xml:space="preserve"> Where a dividend has been declared by a company but has not been paid or the warrant in respect thereof has not been posted within thirty days from the date of declaration to any shareholder entitled to the payment of the dividend, every director of the company shall, if he is knowingly a party to the default, be punishable with imprisonment which may extend to two years and with fine which shall not be less than one thousand rupees for every day during which such default continues and the company shall be liable to pay simple interest at the rate of eighteen per cent per annum during the period for which such default continues:</w:t>
      </w:r>
    </w:p>
    <w:p w:rsidR="001765F1" w:rsidRDefault="001765F1" w:rsidP="001765F1">
      <w:pPr>
        <w:pStyle w:val="tx"/>
        <w:shd w:val="clear" w:color="auto" w:fill="FFFFFF"/>
      </w:pPr>
      <w:r>
        <w:rPr>
          <w:b/>
          <w:bCs/>
        </w:rPr>
        <w:lastRenderedPageBreak/>
        <w:t>Provided</w:t>
      </w:r>
      <w:r>
        <w:t xml:space="preserve"> that no offence under this section shall be deemed to have been committed:—</w:t>
      </w:r>
    </w:p>
    <w:p w:rsidR="001765F1" w:rsidRDefault="001765F1" w:rsidP="001765F1">
      <w:pPr>
        <w:pStyle w:val="indent1"/>
        <w:shd w:val="clear" w:color="auto" w:fill="FFFFFF"/>
      </w:pPr>
      <w:r>
        <w:t>(</w:t>
      </w:r>
      <w:r>
        <w:rPr>
          <w:i/>
          <w:iCs/>
        </w:rPr>
        <w:t>a</w:t>
      </w:r>
      <w:r>
        <w:t xml:space="preserve">) </w:t>
      </w:r>
      <w:proofErr w:type="gramStart"/>
      <w:r>
        <w:t>where</w:t>
      </w:r>
      <w:proofErr w:type="gramEnd"/>
      <w:r>
        <w:t xml:space="preserve"> the dividend could not be paid by reason of the operation of any law;</w:t>
      </w:r>
    </w:p>
    <w:p w:rsidR="001765F1" w:rsidRDefault="001765F1" w:rsidP="001765F1">
      <w:pPr>
        <w:pStyle w:val="indent1"/>
        <w:shd w:val="clear" w:color="auto" w:fill="FFFFFF"/>
      </w:pPr>
      <w:r>
        <w:t>(</w:t>
      </w:r>
      <w:r>
        <w:rPr>
          <w:i/>
          <w:iCs/>
        </w:rPr>
        <w:t>b</w:t>
      </w:r>
      <w:r>
        <w:t xml:space="preserve">) </w:t>
      </w:r>
      <w:proofErr w:type="gramStart"/>
      <w:r>
        <w:t>where</w:t>
      </w:r>
      <w:proofErr w:type="gramEnd"/>
      <w:r>
        <w:t xml:space="preserve"> a shareholder has given directions to the company regarding the payment of the dividend and those directions cannot be complied with and the same has been communicated to him;</w:t>
      </w:r>
    </w:p>
    <w:p w:rsidR="001765F1" w:rsidRDefault="001765F1" w:rsidP="001765F1">
      <w:pPr>
        <w:pStyle w:val="indent1"/>
        <w:shd w:val="clear" w:color="auto" w:fill="FFFFFF"/>
      </w:pPr>
      <w:r>
        <w:t>(</w:t>
      </w:r>
      <w:r>
        <w:rPr>
          <w:i/>
          <w:iCs/>
        </w:rPr>
        <w:t>c</w:t>
      </w:r>
      <w:r>
        <w:t xml:space="preserve">) </w:t>
      </w:r>
      <w:proofErr w:type="gramStart"/>
      <w:r>
        <w:t>where</w:t>
      </w:r>
      <w:proofErr w:type="gramEnd"/>
      <w:r>
        <w:t xml:space="preserve"> there is a dispute regarding the right to receive the dividend;</w:t>
      </w:r>
    </w:p>
    <w:p w:rsidR="001765F1" w:rsidRDefault="001765F1" w:rsidP="001765F1">
      <w:pPr>
        <w:pStyle w:val="indent1"/>
        <w:shd w:val="clear" w:color="auto" w:fill="FFFFFF"/>
      </w:pPr>
      <w:r>
        <w:t>(</w:t>
      </w:r>
      <w:r>
        <w:rPr>
          <w:i/>
          <w:iCs/>
        </w:rPr>
        <w:t>d</w:t>
      </w:r>
      <w:r>
        <w:t xml:space="preserve">) </w:t>
      </w:r>
      <w:proofErr w:type="gramStart"/>
      <w:r>
        <w:t>where</w:t>
      </w:r>
      <w:proofErr w:type="gramEnd"/>
      <w:r>
        <w:t xml:space="preserve"> the dividend has been lawfully adjusted by the company against any sum due to it from the shareholder; or</w:t>
      </w:r>
    </w:p>
    <w:p w:rsidR="001765F1" w:rsidRDefault="001765F1" w:rsidP="001765F1">
      <w:pPr>
        <w:pStyle w:val="indent1"/>
        <w:shd w:val="clear" w:color="auto" w:fill="FFFFFF"/>
      </w:pPr>
      <w:r>
        <w:t>(</w:t>
      </w:r>
      <w:r>
        <w:rPr>
          <w:i/>
          <w:iCs/>
        </w:rPr>
        <w:t>e</w:t>
      </w:r>
      <w:r>
        <w:t xml:space="preserve">) </w:t>
      </w:r>
      <w:proofErr w:type="gramStart"/>
      <w:r>
        <w:t>where</w:t>
      </w:r>
      <w:proofErr w:type="gramEnd"/>
      <w:r>
        <w:t>, for any other reason, the failure to pay the dividend or to post the warrant within the period under this section was not due to any default on the part of the company.</w:t>
      </w:r>
    </w:p>
    <w:p w:rsidR="00E01D80" w:rsidRDefault="00E01D80"/>
    <w:p w:rsidR="001765F1" w:rsidRDefault="001765F1">
      <w:r>
        <w:tab/>
      </w:r>
      <w:r>
        <w:tab/>
      </w:r>
      <w:r>
        <w:tab/>
      </w:r>
      <w:r>
        <w:tab/>
      </w:r>
      <w:r>
        <w:tab/>
      </w:r>
      <w:r>
        <w:tab/>
        <w:t>***</w:t>
      </w:r>
    </w:p>
    <w:p w:rsidR="00E675D6" w:rsidRDefault="00E675D6">
      <w:r>
        <w:br w:type="page"/>
      </w:r>
    </w:p>
    <w:p w:rsidR="00E675D6" w:rsidRPr="00E675D6" w:rsidRDefault="00E675D6" w:rsidP="00E675D6">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i/>
          <w:iCs/>
          <w:kern w:val="0"/>
          <w:sz w:val="24"/>
          <w:szCs w:val="24"/>
          <w:lang w:val="en-US"/>
          <w14:ligatures w14:val="none"/>
        </w:rPr>
        <w:lastRenderedPageBreak/>
        <w:t>SCHEDULE II</w:t>
      </w:r>
    </w:p>
    <w:p w:rsidR="00E675D6" w:rsidRPr="00E675D6" w:rsidRDefault="00E675D6" w:rsidP="00E675D6">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 xml:space="preserve">See </w:t>
      </w:r>
      <w:r w:rsidRPr="00E675D6">
        <w:rPr>
          <w:rFonts w:ascii="Times New Roman" w:eastAsia="Times New Roman" w:hAnsi="Times New Roman" w:cs="Times New Roman"/>
          <w:kern w:val="0"/>
          <w:sz w:val="24"/>
          <w:szCs w:val="24"/>
          <w:lang w:val="en-US"/>
          <w14:ligatures w14:val="none"/>
        </w:rPr>
        <w:t>section 123)</w:t>
      </w:r>
    </w:p>
    <w:p w:rsidR="00E675D6" w:rsidRPr="00E675D6" w:rsidRDefault="00E675D6" w:rsidP="00E675D6">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USEFUL LIVES TO COMPUTE DEPRECIATION</w:t>
      </w:r>
    </w:p>
    <w:p w:rsidR="00E675D6" w:rsidRPr="00E675D6" w:rsidRDefault="00E675D6" w:rsidP="00E675D6">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i/>
          <w:iCs/>
          <w:kern w:val="0"/>
          <w:sz w:val="24"/>
          <w:szCs w:val="24"/>
          <w:lang w:val="en-US"/>
          <w14:ligatures w14:val="none"/>
        </w:rPr>
        <w:t>PART 'A'</w:t>
      </w:r>
    </w:p>
    <w:p w:rsidR="00E675D6" w:rsidRPr="00E675D6" w:rsidRDefault="00E675D6" w:rsidP="00E675D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 xml:space="preserve">1. </w:t>
      </w:r>
      <w:r w:rsidRPr="00E675D6">
        <w:rPr>
          <w:rFonts w:ascii="Times New Roman" w:eastAsia="Times New Roman" w:hAnsi="Times New Roman" w:cs="Times New Roman"/>
          <w:kern w:val="0"/>
          <w:sz w:val="24"/>
          <w:szCs w:val="24"/>
          <w:lang w:val="en-US"/>
          <w14:ligatures w14:val="none"/>
        </w:rPr>
        <w:t>Depreciation is the systematic allocation of the depreciable amount of an asset over its useful life. The depreciable amount of an asset is the cost of an asset or other amount substituted for cost, less its residual value. The useful life of an asset is the period over which an asset is expected to be available for use by an entity, or the number of production or similar units expected to be obtained from the asset by the entity.</w:t>
      </w:r>
    </w:p>
    <w:p w:rsidR="00E675D6" w:rsidRPr="00E675D6" w:rsidRDefault="00E675D6" w:rsidP="00E675D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 xml:space="preserve">2. </w:t>
      </w:r>
      <w:r w:rsidRPr="00E675D6">
        <w:rPr>
          <w:rFonts w:ascii="Times New Roman" w:eastAsia="Times New Roman" w:hAnsi="Times New Roman" w:cs="Times New Roman"/>
          <w:kern w:val="0"/>
          <w:sz w:val="24"/>
          <w:szCs w:val="24"/>
          <w:lang w:val="en-US"/>
          <w14:ligatures w14:val="none"/>
        </w:rPr>
        <w:t xml:space="preserve">For the purpose of this Schedule, the term depreciation includes </w:t>
      </w:r>
      <w:proofErr w:type="spellStart"/>
      <w:r w:rsidRPr="00E675D6">
        <w:rPr>
          <w:rFonts w:ascii="Times New Roman" w:eastAsia="Times New Roman" w:hAnsi="Times New Roman" w:cs="Times New Roman"/>
          <w:kern w:val="0"/>
          <w:sz w:val="24"/>
          <w:szCs w:val="24"/>
          <w:lang w:val="en-US"/>
          <w14:ligatures w14:val="none"/>
        </w:rPr>
        <w:t>amortisation</w:t>
      </w:r>
      <w:proofErr w:type="spellEnd"/>
      <w:r w:rsidRPr="00E675D6">
        <w:rPr>
          <w:rFonts w:ascii="Times New Roman" w:eastAsia="Times New Roman" w:hAnsi="Times New Roman" w:cs="Times New Roman"/>
          <w:kern w:val="0"/>
          <w:sz w:val="24"/>
          <w:szCs w:val="24"/>
          <w:lang w:val="en-US"/>
          <w14:ligatures w14:val="none"/>
        </w:rPr>
        <w:t>.</w:t>
      </w:r>
    </w:p>
    <w:p w:rsidR="00E675D6" w:rsidRPr="00E675D6" w:rsidRDefault="00E675D6" w:rsidP="00E675D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 xml:space="preserve">3. </w:t>
      </w:r>
      <w:r w:rsidRPr="00E675D6">
        <w:rPr>
          <w:rFonts w:ascii="Times New Roman" w:eastAsia="Times New Roman" w:hAnsi="Times New Roman" w:cs="Times New Roman"/>
          <w:kern w:val="0"/>
          <w:sz w:val="24"/>
          <w:szCs w:val="24"/>
          <w:lang w:val="en-US"/>
          <w14:ligatures w14:val="none"/>
        </w:rPr>
        <w:t>Without prejudice to the, foregoing provisions of paragraph 1,—</w:t>
      </w:r>
    </w:p>
    <w:p w:rsidR="00E675D6" w:rsidRPr="00E675D6" w:rsidRDefault="00E675D6" w:rsidP="00E675D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w:t>
      </w:r>
      <w:r w:rsidRPr="00E675D6">
        <w:rPr>
          <w:rFonts w:ascii="Times New Roman" w:eastAsia="Times New Roman" w:hAnsi="Times New Roman" w:cs="Times New Roman"/>
          <w:kern w:val="0"/>
          <w:sz w:val="24"/>
          <w:szCs w:val="24"/>
          <w:lang w:val="en-US"/>
          <w14:ligatures w14:val="none"/>
        </w:rPr>
        <w:t>) In case of such class of companies, as may be prescribed and whose financial statements comply with the accounting standards prescribed for such class of companies under section 133 the useful life of an asset shall not normally be different from the useful life and the residual value shall not be different from that as indicated in Part C, provided that if such a company uses a useful life or residual value which is different from the useful life or residual value indicated therein, it shall disclose the justification for the same.</w:t>
      </w:r>
    </w:p>
    <w:p w:rsidR="00E675D6" w:rsidRPr="00E675D6" w:rsidRDefault="00E675D6" w:rsidP="00E675D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ii</w:t>
      </w:r>
      <w:r w:rsidRPr="00E675D6">
        <w:rPr>
          <w:rFonts w:ascii="Times New Roman" w:eastAsia="Times New Roman" w:hAnsi="Times New Roman" w:cs="Times New Roman"/>
          <w:kern w:val="0"/>
          <w:sz w:val="24"/>
          <w:szCs w:val="24"/>
          <w:lang w:val="en-US"/>
          <w14:ligatures w14:val="none"/>
        </w:rPr>
        <w:t>) In respect of other companies the useful life of an asset shall not be longer than the useful life and the residual value shall not be higher than that prescribed in Part C.</w:t>
      </w:r>
    </w:p>
    <w:p w:rsidR="00E675D6" w:rsidRPr="00E675D6" w:rsidRDefault="00E675D6" w:rsidP="00E675D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iii</w:t>
      </w:r>
      <w:r w:rsidRPr="00E675D6">
        <w:rPr>
          <w:rFonts w:ascii="Times New Roman" w:eastAsia="Times New Roman" w:hAnsi="Times New Roman" w:cs="Times New Roman"/>
          <w:kern w:val="0"/>
          <w:sz w:val="24"/>
          <w:szCs w:val="24"/>
          <w:lang w:val="en-US"/>
          <w14:ligatures w14:val="none"/>
        </w:rPr>
        <w:t>) For intangible assets, the provisions of the Accounting Standards mentioned under sub-</w:t>
      </w:r>
      <w:proofErr w:type="spellStart"/>
      <w:r w:rsidRPr="00E675D6">
        <w:rPr>
          <w:rFonts w:ascii="Times New Roman" w:eastAsia="Times New Roman" w:hAnsi="Times New Roman" w:cs="Times New Roman"/>
          <w:kern w:val="0"/>
          <w:sz w:val="24"/>
          <w:szCs w:val="24"/>
          <w:lang w:val="en-US"/>
          <w14:ligatures w14:val="none"/>
        </w:rPr>
        <w:t>para</w:t>
      </w:r>
      <w:proofErr w:type="spellEnd"/>
      <w:r w:rsidRPr="00E675D6">
        <w:rPr>
          <w:rFonts w:ascii="Times New Roman" w:eastAsia="Times New Roman" w:hAnsi="Times New Roman" w:cs="Times New Roman"/>
          <w:kern w:val="0"/>
          <w:sz w:val="24"/>
          <w:szCs w:val="24"/>
          <w:lang w:val="en-US"/>
          <w14:ligatures w14:val="none"/>
        </w:rPr>
        <w:t xml:space="preserve"> (</w:t>
      </w:r>
      <w:r w:rsidRPr="00E675D6">
        <w:rPr>
          <w:rFonts w:ascii="Times New Roman" w:eastAsia="Times New Roman" w:hAnsi="Times New Roman" w:cs="Times New Roman"/>
          <w:i/>
          <w:iCs/>
          <w:kern w:val="0"/>
          <w:sz w:val="24"/>
          <w:szCs w:val="24"/>
          <w:lang w:val="en-US"/>
          <w14:ligatures w14:val="none"/>
        </w:rPr>
        <w:t>i</w:t>
      </w:r>
      <w:r w:rsidRPr="00E675D6">
        <w:rPr>
          <w:rFonts w:ascii="Times New Roman" w:eastAsia="Times New Roman" w:hAnsi="Times New Roman" w:cs="Times New Roman"/>
          <w:kern w:val="0"/>
          <w:sz w:val="24"/>
          <w:szCs w:val="24"/>
          <w:lang w:val="en-US"/>
          <w14:ligatures w14:val="none"/>
        </w:rPr>
        <w:t>) or (</w:t>
      </w:r>
      <w:r w:rsidRPr="00E675D6">
        <w:rPr>
          <w:rFonts w:ascii="Times New Roman" w:eastAsia="Times New Roman" w:hAnsi="Times New Roman" w:cs="Times New Roman"/>
          <w:i/>
          <w:iCs/>
          <w:kern w:val="0"/>
          <w:sz w:val="24"/>
          <w:szCs w:val="24"/>
          <w:lang w:val="en-US"/>
          <w14:ligatures w14:val="none"/>
        </w:rPr>
        <w:t>ii</w:t>
      </w:r>
      <w:r w:rsidRPr="00E675D6">
        <w:rPr>
          <w:rFonts w:ascii="Times New Roman" w:eastAsia="Times New Roman" w:hAnsi="Times New Roman" w:cs="Times New Roman"/>
          <w:kern w:val="0"/>
          <w:sz w:val="24"/>
          <w:szCs w:val="24"/>
          <w:lang w:val="en-US"/>
          <w14:ligatures w14:val="none"/>
        </w:rPr>
        <w:t>), as applicable, shall apply.</w:t>
      </w:r>
    </w:p>
    <w:p w:rsidR="00E675D6" w:rsidRPr="00E675D6" w:rsidRDefault="00E675D6" w:rsidP="00E675D6">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i/>
          <w:iCs/>
          <w:kern w:val="0"/>
          <w:sz w:val="24"/>
          <w:szCs w:val="24"/>
          <w:lang w:val="en-US"/>
          <w14:ligatures w14:val="none"/>
        </w:rPr>
        <w:t>PART 'B'</w:t>
      </w:r>
    </w:p>
    <w:p w:rsidR="00E675D6" w:rsidRPr="00E675D6" w:rsidRDefault="00E675D6" w:rsidP="00E675D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4.</w:t>
      </w:r>
      <w:r w:rsidRPr="00E675D6">
        <w:rPr>
          <w:rFonts w:ascii="Times New Roman" w:eastAsia="Times New Roman" w:hAnsi="Times New Roman" w:cs="Times New Roman"/>
          <w:kern w:val="0"/>
          <w:sz w:val="24"/>
          <w:szCs w:val="24"/>
          <w:lang w:val="en-US"/>
          <w14:ligatures w14:val="none"/>
        </w:rPr>
        <w:t xml:space="preserve"> The useful life or residual value of any specific asset, as notified for accounting purposes by a Regulatory Authority constituted under an Act of Parliament or by the Central Government shall be applied in calculating the depreciation to be provided for such asset irrespective of the requirements of this Schedule.</w:t>
      </w:r>
    </w:p>
    <w:p w:rsidR="00E675D6" w:rsidRPr="00E675D6" w:rsidRDefault="00E675D6" w:rsidP="00E675D6">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i/>
          <w:iCs/>
          <w:kern w:val="0"/>
          <w:sz w:val="24"/>
          <w:szCs w:val="24"/>
          <w:lang w:val="en-US"/>
          <w14:ligatures w14:val="none"/>
        </w:rPr>
        <w:t>PART 'C'</w:t>
      </w:r>
    </w:p>
    <w:p w:rsidR="00E675D6" w:rsidRPr="00E675D6" w:rsidRDefault="00E675D6" w:rsidP="00E675D6">
      <w:pPr>
        <w:shd w:val="clear" w:color="auto" w:fill="FFFFFF"/>
        <w:spacing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5.</w:t>
      </w:r>
      <w:r w:rsidRPr="00E675D6">
        <w:rPr>
          <w:rFonts w:ascii="Times New Roman" w:eastAsia="Times New Roman" w:hAnsi="Times New Roman" w:cs="Times New Roman"/>
          <w:kern w:val="0"/>
          <w:sz w:val="24"/>
          <w:szCs w:val="24"/>
          <w:lang w:val="en-US"/>
          <w14:ligatures w14:val="none"/>
        </w:rPr>
        <w:t xml:space="preserve"> Subject to Parts A and B above, the following are the useful lives of various tangible assets:</w:t>
      </w:r>
    </w:p>
    <w:tbl>
      <w:tblPr>
        <w:tblW w:w="5000" w:type="pct"/>
        <w:tblCellMar>
          <w:top w:w="60" w:type="dxa"/>
          <w:left w:w="60" w:type="dxa"/>
          <w:bottom w:w="60" w:type="dxa"/>
          <w:right w:w="60" w:type="dxa"/>
        </w:tblCellMar>
        <w:tblLook w:val="04A0" w:firstRow="1" w:lastRow="0" w:firstColumn="1" w:lastColumn="0" w:noHBand="0" w:noVBand="1"/>
      </w:tblPr>
      <w:tblGrid>
        <w:gridCol w:w="7646"/>
        <w:gridCol w:w="1500"/>
      </w:tblGrid>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Nature of assets</w:t>
            </w:r>
          </w:p>
        </w:tc>
        <w:tc>
          <w:tcPr>
            <w:tcW w:w="1500" w:type="dxa"/>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Useful Life</w:t>
            </w: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I. Buildings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a</w:t>
            </w:r>
            <w:r w:rsidRPr="00E675D6">
              <w:rPr>
                <w:rFonts w:ascii="Times New Roman" w:eastAsia="Times New Roman" w:hAnsi="Times New Roman" w:cs="Times New Roman"/>
                <w:kern w:val="0"/>
                <w:sz w:val="24"/>
                <w:szCs w:val="24"/>
                <w:lang w:val="en-US"/>
                <w14:ligatures w14:val="none"/>
              </w:rPr>
              <w:t>) Buildings (other than factory buildings) RCC Frame Structure</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60 Years</w:t>
            </w: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b</w:t>
            </w:r>
            <w:r w:rsidRPr="00E675D6">
              <w:rPr>
                <w:rFonts w:ascii="Times New Roman" w:eastAsia="Times New Roman" w:hAnsi="Times New Roman" w:cs="Times New Roman"/>
                <w:kern w:val="0"/>
                <w:sz w:val="24"/>
                <w:szCs w:val="24"/>
                <w:lang w:val="en-US"/>
                <w14:ligatures w14:val="none"/>
              </w:rPr>
              <w:t>) Buildings (other than factory buildings) other than RCC Frame Structure</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30 Years</w:t>
            </w: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c</w:t>
            </w:r>
            <w:r w:rsidRPr="00E675D6">
              <w:rPr>
                <w:rFonts w:ascii="Times New Roman" w:eastAsia="Times New Roman" w:hAnsi="Times New Roman" w:cs="Times New Roman"/>
                <w:kern w:val="0"/>
                <w:sz w:val="24"/>
                <w:szCs w:val="24"/>
                <w:lang w:val="en-US"/>
                <w14:ligatures w14:val="none"/>
              </w:rPr>
              <w:t>) Factory buildings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d</w:t>
            </w:r>
            <w:r w:rsidRPr="00E675D6">
              <w:rPr>
                <w:rFonts w:ascii="Times New Roman" w:eastAsia="Times New Roman" w:hAnsi="Times New Roman" w:cs="Times New Roman"/>
                <w:kern w:val="0"/>
                <w:sz w:val="24"/>
                <w:szCs w:val="24"/>
                <w:lang w:val="en-US"/>
                <w14:ligatures w14:val="none"/>
              </w:rPr>
              <w:t>) Fences, wells, tube wells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5 Years</w:t>
            </w: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e</w:t>
            </w:r>
            <w:r w:rsidRPr="00E675D6">
              <w:rPr>
                <w:rFonts w:ascii="Times New Roman" w:eastAsia="Times New Roman" w:hAnsi="Times New Roman" w:cs="Times New Roman"/>
                <w:kern w:val="0"/>
                <w:sz w:val="24"/>
                <w:szCs w:val="24"/>
                <w:lang w:val="en-US"/>
                <w14:ligatures w14:val="none"/>
              </w:rPr>
              <w:t>) Others (including temporary structure, etc.)</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 Years</w:t>
            </w: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 xml:space="preserve">II. Bridges, culverts, </w:t>
            </w:r>
            <w:proofErr w:type="spellStart"/>
            <w:r w:rsidRPr="00E675D6">
              <w:rPr>
                <w:rFonts w:ascii="Times New Roman" w:eastAsia="Times New Roman" w:hAnsi="Times New Roman" w:cs="Times New Roman"/>
                <w:b/>
                <w:bCs/>
                <w:kern w:val="0"/>
                <w:sz w:val="24"/>
                <w:szCs w:val="24"/>
                <w:lang w:val="en-US"/>
                <w14:ligatures w14:val="none"/>
              </w:rPr>
              <w:t>bunders</w:t>
            </w:r>
            <w:proofErr w:type="spellEnd"/>
            <w:r w:rsidRPr="00E675D6">
              <w:rPr>
                <w:rFonts w:ascii="Times New Roman" w:eastAsia="Times New Roman" w:hAnsi="Times New Roman" w:cs="Times New Roman"/>
                <w:b/>
                <w:bCs/>
                <w:kern w:val="0"/>
                <w:sz w:val="24"/>
                <w:szCs w:val="24"/>
                <w:lang w:val="en-US"/>
                <w14:ligatures w14:val="none"/>
              </w:rPr>
              <w:t>, etc.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30 Years</w:t>
            </w: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III. Roads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lastRenderedPageBreak/>
              <w:t>(</w:t>
            </w:r>
            <w:r w:rsidRPr="00E675D6">
              <w:rPr>
                <w:rFonts w:ascii="Times New Roman" w:eastAsia="Times New Roman" w:hAnsi="Times New Roman" w:cs="Times New Roman"/>
                <w:i/>
                <w:iCs/>
                <w:kern w:val="0"/>
                <w:sz w:val="24"/>
                <w:szCs w:val="24"/>
                <w:lang w:val="en-US"/>
                <w14:ligatures w14:val="none"/>
              </w:rPr>
              <w:t>a</w:t>
            </w:r>
            <w:r w:rsidRPr="00E675D6">
              <w:rPr>
                <w:rFonts w:ascii="Times New Roman" w:eastAsia="Times New Roman" w:hAnsi="Times New Roman" w:cs="Times New Roman"/>
                <w:kern w:val="0"/>
                <w:sz w:val="24"/>
                <w:szCs w:val="24"/>
                <w:lang w:val="en-US"/>
                <w14:ligatures w14:val="none"/>
              </w:rPr>
              <w:t>) Carpeted roads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w:t>
            </w:r>
            <w:r w:rsidRPr="00E675D6">
              <w:rPr>
                <w:rFonts w:ascii="Times New Roman" w:eastAsia="Times New Roman" w:hAnsi="Times New Roman" w:cs="Times New Roman"/>
                <w:kern w:val="0"/>
                <w:sz w:val="24"/>
                <w:szCs w:val="24"/>
                <w:lang w:val="en-US"/>
                <w14:ligatures w14:val="none"/>
              </w:rPr>
              <w:t>) Carpeted Roads—RCC</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10 Years</w:t>
            </w: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ii</w:t>
            </w:r>
            <w:r w:rsidRPr="00E675D6">
              <w:rPr>
                <w:rFonts w:ascii="Times New Roman" w:eastAsia="Times New Roman" w:hAnsi="Times New Roman" w:cs="Times New Roman"/>
                <w:kern w:val="0"/>
                <w:sz w:val="24"/>
                <w:szCs w:val="24"/>
                <w:lang w:val="en-US"/>
                <w14:ligatures w14:val="none"/>
              </w:rPr>
              <w:t>) Carpeted Roads—other than RCC</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5 Years</w:t>
            </w: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b</w:t>
            </w:r>
            <w:r w:rsidRPr="00E675D6">
              <w:rPr>
                <w:rFonts w:ascii="Times New Roman" w:eastAsia="Times New Roman" w:hAnsi="Times New Roman" w:cs="Times New Roman"/>
                <w:kern w:val="0"/>
                <w:sz w:val="24"/>
                <w:szCs w:val="24"/>
                <w:lang w:val="en-US"/>
                <w14:ligatures w14:val="none"/>
              </w:rPr>
              <w:t>) Non-carpeted roads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 Years</w:t>
            </w: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IV. Plant and Machinery</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w:t>
            </w:r>
            <w:r w:rsidRPr="00E675D6">
              <w:rPr>
                <w:rFonts w:ascii="Times New Roman" w:eastAsia="Times New Roman" w:hAnsi="Times New Roman" w:cs="Times New Roman"/>
                <w:kern w:val="0"/>
                <w:sz w:val="24"/>
                <w:szCs w:val="24"/>
                <w:lang w:val="en-US"/>
                <w14:ligatures w14:val="none"/>
              </w:rPr>
              <w:t xml:space="preserve">) </w:t>
            </w:r>
            <w:r w:rsidRPr="00E675D6">
              <w:rPr>
                <w:rFonts w:ascii="Times New Roman" w:eastAsia="Times New Roman" w:hAnsi="Times New Roman" w:cs="Times New Roman"/>
                <w:b/>
                <w:bCs/>
                <w:kern w:val="0"/>
                <w:sz w:val="24"/>
                <w:szCs w:val="24"/>
                <w:lang w:val="en-US"/>
                <w14:ligatures w14:val="none"/>
              </w:rPr>
              <w:t>General rate applicable to plant and machinery not covered under special plant and machinery</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a</w:t>
            </w:r>
            <w:r w:rsidRPr="00E675D6">
              <w:rPr>
                <w:rFonts w:ascii="Times New Roman" w:eastAsia="Times New Roman" w:hAnsi="Times New Roman" w:cs="Times New Roman"/>
                <w:kern w:val="0"/>
                <w:sz w:val="24"/>
                <w:szCs w:val="24"/>
                <w:lang w:val="en-US"/>
                <w14:ligatures w14:val="none"/>
              </w:rPr>
              <w:t>) Plant and Machinery other than continuous process plant not covered under specific industries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15 Years</w:t>
            </w: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b</w:t>
            </w:r>
            <w:r w:rsidRPr="00E675D6">
              <w:rPr>
                <w:rFonts w:ascii="Times New Roman" w:eastAsia="Times New Roman" w:hAnsi="Times New Roman" w:cs="Times New Roman"/>
                <w:kern w:val="0"/>
                <w:sz w:val="24"/>
                <w:szCs w:val="24"/>
                <w:lang w:val="en-US"/>
                <w14:ligatures w14:val="none"/>
              </w:rPr>
              <w:t>) Continuous process plant for which no special rate has been prescribed under (</w:t>
            </w:r>
            <w:r w:rsidRPr="00E675D6">
              <w:rPr>
                <w:rFonts w:ascii="Times New Roman" w:eastAsia="Times New Roman" w:hAnsi="Times New Roman" w:cs="Times New Roman"/>
                <w:i/>
                <w:iCs/>
                <w:kern w:val="0"/>
                <w:sz w:val="24"/>
                <w:szCs w:val="24"/>
                <w:lang w:val="en-US"/>
                <w14:ligatures w14:val="none"/>
              </w:rPr>
              <w:t>ii</w:t>
            </w:r>
            <w:r w:rsidRPr="00E675D6">
              <w:rPr>
                <w:rFonts w:ascii="Times New Roman" w:eastAsia="Times New Roman" w:hAnsi="Times New Roman" w:cs="Times New Roman"/>
                <w:kern w:val="0"/>
                <w:sz w:val="24"/>
                <w:szCs w:val="24"/>
                <w:lang w:val="en-US"/>
                <w14:ligatures w14:val="none"/>
              </w:rPr>
              <w:t>) below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8 Years</w:t>
            </w: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ii</w:t>
            </w:r>
            <w:r w:rsidRPr="00E675D6">
              <w:rPr>
                <w:rFonts w:ascii="Times New Roman" w:eastAsia="Times New Roman" w:hAnsi="Times New Roman" w:cs="Times New Roman"/>
                <w:kern w:val="0"/>
                <w:sz w:val="24"/>
                <w:szCs w:val="24"/>
                <w:lang w:val="en-US"/>
                <w14:ligatures w14:val="none"/>
              </w:rPr>
              <w:t xml:space="preserve">) </w:t>
            </w:r>
            <w:r w:rsidRPr="00E675D6">
              <w:rPr>
                <w:rFonts w:ascii="Times New Roman" w:eastAsia="Times New Roman" w:hAnsi="Times New Roman" w:cs="Times New Roman"/>
                <w:b/>
                <w:bCs/>
                <w:kern w:val="0"/>
                <w:sz w:val="24"/>
                <w:szCs w:val="24"/>
                <w:lang w:val="en-US"/>
                <w14:ligatures w14:val="none"/>
              </w:rPr>
              <w:t>Special Plant and Machinery</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a</w:t>
            </w:r>
            <w:r w:rsidRPr="00E675D6">
              <w:rPr>
                <w:rFonts w:ascii="Times New Roman" w:eastAsia="Times New Roman" w:hAnsi="Times New Roman" w:cs="Times New Roman"/>
                <w:kern w:val="0"/>
                <w:sz w:val="24"/>
                <w:szCs w:val="24"/>
                <w:lang w:val="en-US"/>
                <w14:ligatures w14:val="none"/>
              </w:rPr>
              <w:t>) Plant and Machinery related to production and exhibition of Motion Picture Films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1. Cinematograph films—Machinery used in the production and exhibition of cinematograph films, recording and reproducing </w:t>
            </w:r>
            <w:proofErr w:type="spellStart"/>
            <w:r w:rsidRPr="00E675D6">
              <w:rPr>
                <w:rFonts w:ascii="Times New Roman" w:eastAsia="Times New Roman" w:hAnsi="Times New Roman" w:cs="Times New Roman"/>
                <w:kern w:val="0"/>
                <w:sz w:val="24"/>
                <w:szCs w:val="24"/>
                <w:lang w:val="en-US"/>
                <w14:ligatures w14:val="none"/>
              </w:rPr>
              <w:t>equipments</w:t>
            </w:r>
            <w:proofErr w:type="spellEnd"/>
            <w:r w:rsidRPr="00E675D6">
              <w:rPr>
                <w:rFonts w:ascii="Times New Roman" w:eastAsia="Times New Roman" w:hAnsi="Times New Roman" w:cs="Times New Roman"/>
                <w:kern w:val="0"/>
                <w:sz w:val="24"/>
                <w:szCs w:val="24"/>
                <w:lang w:val="en-US"/>
                <w14:ligatures w14:val="none"/>
              </w:rPr>
              <w:t>, developing machines, printing machines, editing machines, synchronizers and studio lights except bulbs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13 Years</w:t>
            </w: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 Projecting equipment for exhibition of films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b</w:t>
            </w:r>
            <w:r w:rsidRPr="00E675D6">
              <w:rPr>
                <w:rFonts w:ascii="Times New Roman" w:eastAsia="Times New Roman" w:hAnsi="Times New Roman" w:cs="Times New Roman"/>
                <w:kern w:val="0"/>
                <w:sz w:val="24"/>
                <w:szCs w:val="24"/>
                <w:lang w:val="en-US"/>
                <w14:ligatures w14:val="none"/>
              </w:rPr>
              <w:t>) Plant and Machinery used in glass manufacturing</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 Plant and Machinery except direct fire glass melting furnaces — Recuperative and regenerative glass melting furnaces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13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2. Plant and Machinery except direct fire glass melting furnaces — </w:t>
            </w:r>
            <w:proofErr w:type="spellStart"/>
            <w:r w:rsidRPr="00E675D6">
              <w:rPr>
                <w:rFonts w:ascii="Times New Roman" w:eastAsia="Times New Roman" w:hAnsi="Times New Roman" w:cs="Times New Roman"/>
                <w:kern w:val="0"/>
                <w:sz w:val="24"/>
                <w:szCs w:val="24"/>
                <w:lang w:val="en-US"/>
                <w14:ligatures w14:val="none"/>
              </w:rPr>
              <w:t>Moulds</w:t>
            </w:r>
            <w:proofErr w:type="spellEnd"/>
            <w:r w:rsidRPr="00E675D6">
              <w:rPr>
                <w:rFonts w:ascii="Times New Roman" w:eastAsia="Times New Roman" w:hAnsi="Times New Roman" w:cs="Times New Roman"/>
                <w:kern w:val="0"/>
                <w:sz w:val="24"/>
                <w:szCs w:val="24"/>
                <w:lang w:val="en-US"/>
                <w14:ligatures w14:val="none"/>
              </w:rPr>
              <w:t xml:space="preserve">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8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 Float Glass Melting Furnaces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c</w:t>
            </w:r>
            <w:r w:rsidRPr="00E675D6">
              <w:rPr>
                <w:rFonts w:ascii="Times New Roman" w:eastAsia="Times New Roman" w:hAnsi="Times New Roman" w:cs="Times New Roman"/>
                <w:kern w:val="0"/>
                <w:sz w:val="24"/>
                <w:szCs w:val="24"/>
                <w:lang w:val="en-US"/>
                <w14:ligatures w14:val="none"/>
              </w:rPr>
              <w:t xml:space="preserve">) Plant and Machinery used in mines and quarries—Portable </w:t>
            </w:r>
            <w:proofErr w:type="spellStart"/>
            <w:r w:rsidRPr="00E675D6">
              <w:rPr>
                <w:rFonts w:ascii="Times New Roman" w:eastAsia="Times New Roman" w:hAnsi="Times New Roman" w:cs="Times New Roman"/>
                <w:kern w:val="0"/>
                <w:sz w:val="24"/>
                <w:szCs w:val="24"/>
                <w:lang w:val="en-US"/>
                <w14:ligatures w14:val="none"/>
              </w:rPr>
              <w:t>under ground</w:t>
            </w:r>
            <w:proofErr w:type="spellEnd"/>
            <w:r w:rsidRPr="00E675D6">
              <w:rPr>
                <w:rFonts w:ascii="Times New Roman" w:eastAsia="Times New Roman" w:hAnsi="Times New Roman" w:cs="Times New Roman"/>
                <w:kern w:val="0"/>
                <w:sz w:val="24"/>
                <w:szCs w:val="24"/>
                <w:lang w:val="en-US"/>
                <w14:ligatures w14:val="none"/>
              </w:rPr>
              <w:t xml:space="preserve"> machinery and earth moving machinery used in open cast mining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8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d</w:t>
            </w:r>
            <w:r w:rsidRPr="00E675D6">
              <w:rPr>
                <w:rFonts w:ascii="Times New Roman" w:eastAsia="Times New Roman" w:hAnsi="Times New Roman" w:cs="Times New Roman"/>
                <w:kern w:val="0"/>
                <w:sz w:val="24"/>
                <w:szCs w:val="24"/>
                <w:lang w:val="en-US"/>
                <w14:ligatures w14:val="none"/>
              </w:rPr>
              <w:t>) Plant and Machinery used in Telecommunications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 Towers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18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2. Telecom transceivers, switching </w:t>
            </w:r>
            <w:proofErr w:type="spellStart"/>
            <w:r w:rsidRPr="00E675D6">
              <w:rPr>
                <w:rFonts w:ascii="Times New Roman" w:eastAsia="Times New Roman" w:hAnsi="Times New Roman" w:cs="Times New Roman"/>
                <w:kern w:val="0"/>
                <w:sz w:val="24"/>
                <w:szCs w:val="24"/>
                <w:lang w:val="en-US"/>
                <w14:ligatures w14:val="none"/>
              </w:rPr>
              <w:t>centres</w:t>
            </w:r>
            <w:proofErr w:type="spellEnd"/>
            <w:r w:rsidRPr="00E675D6">
              <w:rPr>
                <w:rFonts w:ascii="Times New Roman" w:eastAsia="Times New Roman" w:hAnsi="Times New Roman" w:cs="Times New Roman"/>
                <w:kern w:val="0"/>
                <w:sz w:val="24"/>
                <w:szCs w:val="24"/>
                <w:lang w:val="en-US"/>
                <w14:ligatures w14:val="none"/>
              </w:rPr>
              <w:t>, transmission and other network equipment</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13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3. Telecom—Ducts, Cables and optical </w:t>
            </w:r>
            <w:proofErr w:type="spellStart"/>
            <w:r w:rsidRPr="00E675D6">
              <w:rPr>
                <w:rFonts w:ascii="Times New Roman" w:eastAsia="Times New Roman" w:hAnsi="Times New Roman" w:cs="Times New Roman"/>
                <w:kern w:val="0"/>
                <w:sz w:val="24"/>
                <w:szCs w:val="24"/>
                <w:lang w:val="en-US"/>
                <w14:ligatures w14:val="none"/>
              </w:rPr>
              <w:t>fibre</w:t>
            </w:r>
            <w:proofErr w:type="spellEnd"/>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18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4. Satellites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e</w:t>
            </w:r>
            <w:r w:rsidRPr="00E675D6">
              <w:rPr>
                <w:rFonts w:ascii="Times New Roman" w:eastAsia="Times New Roman" w:hAnsi="Times New Roman" w:cs="Times New Roman"/>
                <w:kern w:val="0"/>
                <w:sz w:val="24"/>
                <w:szCs w:val="24"/>
                <w:lang w:val="en-US"/>
                <w14:ligatures w14:val="none"/>
              </w:rPr>
              <w:t xml:space="preserve">) Plant and Machinery used in exploration, production and refining oil and </w:t>
            </w:r>
            <w:r w:rsidRPr="00E675D6">
              <w:rPr>
                <w:rFonts w:ascii="Times New Roman" w:eastAsia="Times New Roman" w:hAnsi="Times New Roman" w:cs="Times New Roman"/>
                <w:kern w:val="0"/>
                <w:sz w:val="24"/>
                <w:szCs w:val="24"/>
                <w:lang w:val="en-US"/>
                <w14:ligatures w14:val="none"/>
              </w:rPr>
              <w:lastRenderedPageBreak/>
              <w:t>gas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lastRenderedPageBreak/>
              <w:t>1. Refineries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25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 Oil and gas assets (including wells), processing plant and facilities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 Petrochemical Plant</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4. Storage tanks and related equipment</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5. Pipelines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6. Drilling Rig</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7. Field operations (above ground) Portable boilers, drilling tools, well-head tanks, etc.</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8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8. Loggers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f</w:t>
            </w:r>
            <w:r w:rsidRPr="00E675D6">
              <w:rPr>
                <w:rFonts w:ascii="Times New Roman" w:eastAsia="Times New Roman" w:hAnsi="Times New Roman" w:cs="Times New Roman"/>
                <w:kern w:val="0"/>
                <w:sz w:val="24"/>
                <w:szCs w:val="24"/>
                <w:lang w:val="en-US"/>
                <w14:ligatures w14:val="none"/>
              </w:rPr>
              <w:t>) Plant and Machinery used in generation, transmission and distribution of power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 Thermal/Gas/Combined Cycle Power Generation Plant</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40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 Hydro Power Generation Plant</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 Nuclear Power Generation Plant</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4. Transmission lines, cables and other network assets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5. Wind Power Generation Plant</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22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6. Electric Distribution Plant</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35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7. Gas Storage and Distribution Plant</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8. Water Distribution Plant including pipelines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g</w:t>
            </w:r>
            <w:r w:rsidRPr="00E675D6">
              <w:rPr>
                <w:rFonts w:ascii="Times New Roman" w:eastAsia="Times New Roman" w:hAnsi="Times New Roman" w:cs="Times New Roman"/>
                <w:kern w:val="0"/>
                <w:sz w:val="24"/>
                <w:szCs w:val="24"/>
                <w:lang w:val="en-US"/>
                <w14:ligatures w14:val="none"/>
              </w:rPr>
              <w:t>) Plant and Machinery used in manufacture of steel</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 Sinter Plant</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 Blast Furnace</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 Coke ovens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4. Rolling mill in steel plant</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5. Basic oxygen Furnace Converter</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25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h</w:t>
            </w:r>
            <w:r w:rsidRPr="00E675D6">
              <w:rPr>
                <w:rFonts w:ascii="Times New Roman" w:eastAsia="Times New Roman" w:hAnsi="Times New Roman" w:cs="Times New Roman"/>
                <w:kern w:val="0"/>
                <w:sz w:val="24"/>
                <w:szCs w:val="24"/>
                <w:lang w:val="en-US"/>
                <w14:ligatures w14:val="none"/>
              </w:rPr>
              <w:t>) Plant and Machinery used in manufacture of non-ferrous metals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 Metal pot line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40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 Bauxite crushing and grinding section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 Digester section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lastRenderedPageBreak/>
              <w:t>4. Turbine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5. </w:t>
            </w:r>
            <w:proofErr w:type="spellStart"/>
            <w:r w:rsidRPr="00E675D6">
              <w:rPr>
                <w:rFonts w:ascii="Times New Roman" w:eastAsia="Times New Roman" w:hAnsi="Times New Roman" w:cs="Times New Roman"/>
                <w:kern w:val="0"/>
                <w:sz w:val="24"/>
                <w:szCs w:val="24"/>
                <w:lang w:val="en-US"/>
                <w14:ligatures w14:val="none"/>
              </w:rPr>
              <w:t>Equipments</w:t>
            </w:r>
            <w:proofErr w:type="spellEnd"/>
            <w:r w:rsidRPr="00E675D6">
              <w:rPr>
                <w:rFonts w:ascii="Times New Roman" w:eastAsia="Times New Roman" w:hAnsi="Times New Roman" w:cs="Times New Roman"/>
                <w:kern w:val="0"/>
                <w:sz w:val="24"/>
                <w:szCs w:val="24"/>
                <w:lang w:val="en-US"/>
                <w14:ligatures w14:val="none"/>
              </w:rPr>
              <w:t xml:space="preserve"> for Calcination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6. Copper Smelter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7. Roll Grinder</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40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8. Soaking Pit</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9. Annealing Furnace</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10. Rolling Mills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11. </w:t>
            </w:r>
            <w:proofErr w:type="spellStart"/>
            <w:r w:rsidRPr="00E675D6">
              <w:rPr>
                <w:rFonts w:ascii="Times New Roman" w:eastAsia="Times New Roman" w:hAnsi="Times New Roman" w:cs="Times New Roman"/>
                <w:kern w:val="0"/>
                <w:sz w:val="24"/>
                <w:szCs w:val="24"/>
                <w:lang w:val="en-US"/>
                <w14:ligatures w14:val="none"/>
              </w:rPr>
              <w:t>Equipments</w:t>
            </w:r>
            <w:proofErr w:type="spellEnd"/>
            <w:r w:rsidRPr="00E675D6">
              <w:rPr>
                <w:rFonts w:ascii="Times New Roman" w:eastAsia="Times New Roman" w:hAnsi="Times New Roman" w:cs="Times New Roman"/>
                <w:kern w:val="0"/>
                <w:sz w:val="24"/>
                <w:szCs w:val="24"/>
                <w:lang w:val="en-US"/>
                <w14:ligatures w14:val="none"/>
              </w:rPr>
              <w:t xml:space="preserve"> for Scalping, Slitting , etc.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12. Surface Miner, Ripper Dozer, etc., used in mines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25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13. Copper refining plant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w:t>
            </w:r>
            <w:r w:rsidRPr="00E675D6">
              <w:rPr>
                <w:rFonts w:ascii="Times New Roman" w:eastAsia="Times New Roman" w:hAnsi="Times New Roman" w:cs="Times New Roman"/>
                <w:kern w:val="0"/>
                <w:sz w:val="24"/>
                <w:szCs w:val="24"/>
                <w:lang w:val="en-US"/>
                <w14:ligatures w14:val="none"/>
              </w:rPr>
              <w:t>) Plant and Machinery used in medical and surgical operations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1. Electrical Machinery, X-ray and electrotherapeutic apparatus and accessories thereto, medical, diagnostic </w:t>
            </w:r>
            <w:proofErr w:type="spellStart"/>
            <w:r w:rsidRPr="00E675D6">
              <w:rPr>
                <w:rFonts w:ascii="Times New Roman" w:eastAsia="Times New Roman" w:hAnsi="Times New Roman" w:cs="Times New Roman"/>
                <w:kern w:val="0"/>
                <w:sz w:val="24"/>
                <w:szCs w:val="24"/>
                <w:lang w:val="en-US"/>
                <w14:ligatures w14:val="none"/>
              </w:rPr>
              <w:t>equipments</w:t>
            </w:r>
            <w:proofErr w:type="spellEnd"/>
            <w:r w:rsidRPr="00E675D6">
              <w:rPr>
                <w:rFonts w:ascii="Times New Roman" w:eastAsia="Times New Roman" w:hAnsi="Times New Roman" w:cs="Times New Roman"/>
                <w:kern w:val="0"/>
                <w:sz w:val="24"/>
                <w:szCs w:val="24"/>
                <w:lang w:val="en-US"/>
                <w14:ligatures w14:val="none"/>
              </w:rPr>
              <w:t>, namely, Cat-Scan, Ultrasound Machines, ECG Monitors, etc.</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13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2. Other </w:t>
            </w:r>
            <w:proofErr w:type="spellStart"/>
            <w:r w:rsidRPr="00E675D6">
              <w:rPr>
                <w:rFonts w:ascii="Times New Roman" w:eastAsia="Times New Roman" w:hAnsi="Times New Roman" w:cs="Times New Roman"/>
                <w:kern w:val="0"/>
                <w:sz w:val="24"/>
                <w:szCs w:val="24"/>
                <w:lang w:val="en-US"/>
                <w14:ligatures w14:val="none"/>
              </w:rPr>
              <w:t>Equipments</w:t>
            </w:r>
            <w:proofErr w:type="spellEnd"/>
            <w:r w:rsidRPr="00E675D6">
              <w:rPr>
                <w:rFonts w:ascii="Times New Roman" w:eastAsia="Times New Roman" w:hAnsi="Times New Roman" w:cs="Times New Roman"/>
                <w:kern w:val="0"/>
                <w:sz w:val="24"/>
                <w:szCs w:val="24"/>
                <w:lang w:val="en-US"/>
                <w14:ligatures w14:val="none"/>
              </w:rPr>
              <w:t>.</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15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j</w:t>
            </w:r>
            <w:r w:rsidRPr="00E675D6">
              <w:rPr>
                <w:rFonts w:ascii="Times New Roman" w:eastAsia="Times New Roman" w:hAnsi="Times New Roman" w:cs="Times New Roman"/>
                <w:kern w:val="0"/>
                <w:sz w:val="24"/>
                <w:szCs w:val="24"/>
                <w:lang w:val="en-US"/>
                <w14:ligatures w14:val="none"/>
              </w:rPr>
              <w:t>) Plant and Machinery used in manufacture of pharmaceuticals and chemicals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 Reactors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 Distillation Columns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3. Drying </w:t>
            </w:r>
            <w:proofErr w:type="spellStart"/>
            <w:r w:rsidRPr="00E675D6">
              <w:rPr>
                <w:rFonts w:ascii="Times New Roman" w:eastAsia="Times New Roman" w:hAnsi="Times New Roman" w:cs="Times New Roman"/>
                <w:kern w:val="0"/>
                <w:sz w:val="24"/>
                <w:szCs w:val="24"/>
                <w:lang w:val="en-US"/>
                <w14:ligatures w14:val="none"/>
              </w:rPr>
              <w:t>equipments</w:t>
            </w:r>
            <w:proofErr w:type="spellEnd"/>
            <w:r w:rsidRPr="00E675D6">
              <w:rPr>
                <w:rFonts w:ascii="Times New Roman" w:eastAsia="Times New Roman" w:hAnsi="Times New Roman" w:cs="Times New Roman"/>
                <w:kern w:val="0"/>
                <w:sz w:val="24"/>
                <w:szCs w:val="24"/>
                <w:lang w:val="en-US"/>
                <w14:ligatures w14:val="none"/>
              </w:rPr>
              <w:t>/Centrifuges and Decanters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4. Vessel/storage tanks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k</w:t>
            </w:r>
            <w:r w:rsidRPr="00E675D6">
              <w:rPr>
                <w:rFonts w:ascii="Times New Roman" w:eastAsia="Times New Roman" w:hAnsi="Times New Roman" w:cs="Times New Roman"/>
                <w:kern w:val="0"/>
                <w:sz w:val="24"/>
                <w:szCs w:val="24"/>
                <w:lang w:val="en-US"/>
                <w14:ligatures w14:val="none"/>
              </w:rPr>
              <w:t>) Plant and Machinery used in civil construction</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1. Concreting, Crushing, Piling </w:t>
            </w:r>
            <w:proofErr w:type="spellStart"/>
            <w:r w:rsidRPr="00E675D6">
              <w:rPr>
                <w:rFonts w:ascii="Times New Roman" w:eastAsia="Times New Roman" w:hAnsi="Times New Roman" w:cs="Times New Roman"/>
                <w:kern w:val="0"/>
                <w:sz w:val="24"/>
                <w:szCs w:val="24"/>
                <w:lang w:val="en-US"/>
                <w14:ligatures w14:val="none"/>
              </w:rPr>
              <w:t>Equipments</w:t>
            </w:r>
            <w:proofErr w:type="spellEnd"/>
            <w:r w:rsidRPr="00E675D6">
              <w:rPr>
                <w:rFonts w:ascii="Times New Roman" w:eastAsia="Times New Roman" w:hAnsi="Times New Roman" w:cs="Times New Roman"/>
                <w:kern w:val="0"/>
                <w:sz w:val="24"/>
                <w:szCs w:val="24"/>
                <w:lang w:val="en-US"/>
                <w14:ligatures w14:val="none"/>
              </w:rPr>
              <w:t xml:space="preserve"> and Road Making </w:t>
            </w:r>
            <w:proofErr w:type="spellStart"/>
            <w:r w:rsidRPr="00E675D6">
              <w:rPr>
                <w:rFonts w:ascii="Times New Roman" w:eastAsia="Times New Roman" w:hAnsi="Times New Roman" w:cs="Times New Roman"/>
                <w:kern w:val="0"/>
                <w:sz w:val="24"/>
                <w:szCs w:val="24"/>
                <w:lang w:val="en-US"/>
                <w14:ligatures w14:val="none"/>
              </w:rPr>
              <w:t>Equipments</w:t>
            </w:r>
            <w:proofErr w:type="spellEnd"/>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12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2. Heavy Lift </w:t>
            </w:r>
            <w:proofErr w:type="spellStart"/>
            <w:r w:rsidRPr="00E675D6">
              <w:rPr>
                <w:rFonts w:ascii="Times New Roman" w:eastAsia="Times New Roman" w:hAnsi="Times New Roman" w:cs="Times New Roman"/>
                <w:kern w:val="0"/>
                <w:sz w:val="24"/>
                <w:szCs w:val="24"/>
                <w:lang w:val="en-US"/>
                <w14:ligatures w14:val="none"/>
              </w:rPr>
              <w:t>Equipments</w:t>
            </w:r>
            <w:proofErr w:type="spellEnd"/>
            <w:r w:rsidRPr="00E675D6">
              <w:rPr>
                <w:rFonts w:ascii="Times New Roman" w:eastAsia="Times New Roman" w:hAnsi="Times New Roman" w:cs="Times New Roman"/>
                <w:kern w:val="0"/>
                <w:sz w:val="24"/>
                <w:szCs w:val="24"/>
                <w:lang w:val="en-US"/>
                <w14:ligatures w14:val="none"/>
              </w:rPr>
              <w:t>—</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Cranes with capacity of more than 100 tons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Cranes with capacity of less than 100 tons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15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3. Transmission line, Tunneling </w:t>
            </w:r>
            <w:proofErr w:type="spellStart"/>
            <w:r w:rsidRPr="00E675D6">
              <w:rPr>
                <w:rFonts w:ascii="Times New Roman" w:eastAsia="Times New Roman" w:hAnsi="Times New Roman" w:cs="Times New Roman"/>
                <w:kern w:val="0"/>
                <w:sz w:val="24"/>
                <w:szCs w:val="24"/>
                <w:lang w:val="en-US"/>
                <w14:ligatures w14:val="none"/>
              </w:rPr>
              <w:t>Equipments</w:t>
            </w:r>
            <w:proofErr w:type="spellEnd"/>
            <w:r w:rsidRPr="00E675D6">
              <w:rPr>
                <w:rFonts w:ascii="Times New Roman" w:eastAsia="Times New Roman" w:hAnsi="Times New Roman" w:cs="Times New Roman"/>
                <w:kern w:val="0"/>
                <w:sz w:val="24"/>
                <w:szCs w:val="24"/>
                <w:lang w:val="en-US"/>
                <w14:ligatures w14:val="none"/>
              </w:rPr>
              <w:t xml:space="preserve">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4. Earth-moving </w:t>
            </w:r>
            <w:proofErr w:type="spellStart"/>
            <w:r w:rsidRPr="00E675D6">
              <w:rPr>
                <w:rFonts w:ascii="Times New Roman" w:eastAsia="Times New Roman" w:hAnsi="Times New Roman" w:cs="Times New Roman"/>
                <w:kern w:val="0"/>
                <w:sz w:val="24"/>
                <w:szCs w:val="24"/>
                <w:lang w:val="en-US"/>
                <w14:ligatures w14:val="none"/>
              </w:rPr>
              <w:t>equipments</w:t>
            </w:r>
            <w:proofErr w:type="spellEnd"/>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9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5. Others including Material Handling /Pipeline/Welding </w:t>
            </w:r>
            <w:proofErr w:type="spellStart"/>
            <w:r w:rsidRPr="00E675D6">
              <w:rPr>
                <w:rFonts w:ascii="Times New Roman" w:eastAsia="Times New Roman" w:hAnsi="Times New Roman" w:cs="Times New Roman"/>
                <w:kern w:val="0"/>
                <w:sz w:val="24"/>
                <w:szCs w:val="24"/>
                <w:lang w:val="en-US"/>
                <w14:ligatures w14:val="none"/>
              </w:rPr>
              <w:t>Equipments</w:t>
            </w:r>
            <w:proofErr w:type="spellEnd"/>
            <w:r w:rsidRPr="00E675D6">
              <w:rPr>
                <w:rFonts w:ascii="Times New Roman" w:eastAsia="Times New Roman" w:hAnsi="Times New Roman" w:cs="Times New Roman"/>
                <w:kern w:val="0"/>
                <w:sz w:val="24"/>
                <w:szCs w:val="24"/>
                <w:lang w:val="en-US"/>
                <w14:ligatures w14:val="none"/>
              </w:rPr>
              <w:t xml:space="preserve">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12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l</w:t>
            </w:r>
            <w:r w:rsidRPr="00E675D6">
              <w:rPr>
                <w:rFonts w:ascii="Times New Roman" w:eastAsia="Times New Roman" w:hAnsi="Times New Roman" w:cs="Times New Roman"/>
                <w:kern w:val="0"/>
                <w:sz w:val="24"/>
                <w:szCs w:val="24"/>
                <w:lang w:val="en-US"/>
                <w14:ligatures w14:val="none"/>
              </w:rPr>
              <w:t>) Plant and Machinery used in salt works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15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lastRenderedPageBreak/>
              <w:t>V. Furniture and fittings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w:t>
            </w:r>
            <w:r w:rsidRPr="00E675D6">
              <w:rPr>
                <w:rFonts w:ascii="Times New Roman" w:eastAsia="Times New Roman" w:hAnsi="Times New Roman" w:cs="Times New Roman"/>
                <w:kern w:val="0"/>
                <w:sz w:val="24"/>
                <w:szCs w:val="24"/>
                <w:lang w:val="en-US"/>
                <w14:ligatures w14:val="none"/>
              </w:rPr>
              <w:t>) General furniture and fittings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ii</w:t>
            </w:r>
            <w:r w:rsidRPr="00E675D6">
              <w:rPr>
                <w:rFonts w:ascii="Times New Roman" w:eastAsia="Times New Roman" w:hAnsi="Times New Roman" w:cs="Times New Roman"/>
                <w:kern w:val="0"/>
                <w:sz w:val="24"/>
                <w:szCs w:val="24"/>
                <w:lang w:val="en-US"/>
                <w14:ligatures w14:val="none"/>
              </w:rPr>
              <w:t xml:space="preserve">) Furniture and fittings used in hotels, restaurants and boarding houses, schools, colleges and other educational institutions, libraries; welfare </w:t>
            </w:r>
            <w:proofErr w:type="spellStart"/>
            <w:r w:rsidRPr="00E675D6">
              <w:rPr>
                <w:rFonts w:ascii="Times New Roman" w:eastAsia="Times New Roman" w:hAnsi="Times New Roman" w:cs="Times New Roman"/>
                <w:kern w:val="0"/>
                <w:sz w:val="24"/>
                <w:szCs w:val="24"/>
                <w:lang w:val="en-US"/>
                <w14:ligatures w14:val="none"/>
              </w:rPr>
              <w:t>centres</w:t>
            </w:r>
            <w:proofErr w:type="spellEnd"/>
            <w:r w:rsidRPr="00E675D6">
              <w:rPr>
                <w:rFonts w:ascii="Times New Roman" w:eastAsia="Times New Roman" w:hAnsi="Times New Roman" w:cs="Times New Roman"/>
                <w:kern w:val="0"/>
                <w:sz w:val="24"/>
                <w:szCs w:val="24"/>
                <w:lang w:val="en-US"/>
                <w14:ligatures w14:val="none"/>
              </w:rPr>
              <w:t>; meeting halls, cinema houses; theatres and circuses; and furniture and fittings let out on hire for use on the occasion of marriages and similar functions.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8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VI. Motor Vehicles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 Motor cycles, scooters and other mopeds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 Motor buses, motor lorries, motor cars and motor taxies used in a business of running them on hire</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6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 Motor buses, motor lorries and motor cars other than those used in a business of running them on hire</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8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4. Motor tractors, harvesting combines and heavy vehicles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5. Electrically operated vehicles including battery powered or fuel cell powered vehicles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8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VII. Ships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 Ocean-going ships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w:t>
            </w:r>
            <w:r w:rsidRPr="00E675D6">
              <w:rPr>
                <w:rFonts w:ascii="Times New Roman" w:eastAsia="Times New Roman" w:hAnsi="Times New Roman" w:cs="Times New Roman"/>
                <w:kern w:val="0"/>
                <w:sz w:val="24"/>
                <w:szCs w:val="24"/>
                <w:lang w:val="en-US"/>
                <w14:ligatures w14:val="none"/>
              </w:rPr>
              <w:t>) Bulk Carriers and liner vessels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25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ii</w:t>
            </w:r>
            <w:r w:rsidRPr="00E675D6">
              <w:rPr>
                <w:rFonts w:ascii="Times New Roman" w:eastAsia="Times New Roman" w:hAnsi="Times New Roman" w:cs="Times New Roman"/>
                <w:kern w:val="0"/>
                <w:sz w:val="24"/>
                <w:szCs w:val="24"/>
                <w:lang w:val="en-US"/>
                <w14:ligatures w14:val="none"/>
              </w:rPr>
              <w:t>) Crude tankers, product carriers and easy chemical carriers with or without conventional tank coatings.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iii</w:t>
            </w:r>
            <w:r w:rsidRPr="00E675D6">
              <w:rPr>
                <w:rFonts w:ascii="Times New Roman" w:eastAsia="Times New Roman" w:hAnsi="Times New Roman" w:cs="Times New Roman"/>
                <w:kern w:val="0"/>
                <w:sz w:val="24"/>
                <w:szCs w:val="24"/>
                <w:lang w:val="en-US"/>
                <w14:ligatures w14:val="none"/>
              </w:rPr>
              <w:t>) Chemicals and Acid Carriers :</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a</w:t>
            </w:r>
            <w:r w:rsidRPr="00E675D6">
              <w:rPr>
                <w:rFonts w:ascii="Times New Roman" w:eastAsia="Times New Roman" w:hAnsi="Times New Roman" w:cs="Times New Roman"/>
                <w:kern w:val="0"/>
                <w:sz w:val="24"/>
                <w:szCs w:val="24"/>
                <w:lang w:val="en-US"/>
                <w14:ligatures w14:val="none"/>
              </w:rPr>
              <w:t>) With Stainless steel tanks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25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b</w:t>
            </w:r>
            <w:r w:rsidRPr="00E675D6">
              <w:rPr>
                <w:rFonts w:ascii="Times New Roman" w:eastAsia="Times New Roman" w:hAnsi="Times New Roman" w:cs="Times New Roman"/>
                <w:kern w:val="0"/>
                <w:sz w:val="24"/>
                <w:szCs w:val="24"/>
                <w:lang w:val="en-US"/>
                <w14:ligatures w14:val="none"/>
              </w:rPr>
              <w:t>) With other tanks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iv</w:t>
            </w:r>
            <w:r w:rsidRPr="00E675D6">
              <w:rPr>
                <w:rFonts w:ascii="Times New Roman" w:eastAsia="Times New Roman" w:hAnsi="Times New Roman" w:cs="Times New Roman"/>
                <w:kern w:val="0"/>
                <w:sz w:val="24"/>
                <w:szCs w:val="24"/>
                <w:lang w:val="en-US"/>
                <w14:ligatures w14:val="none"/>
              </w:rPr>
              <w:t xml:space="preserve">) </w:t>
            </w:r>
            <w:proofErr w:type="spellStart"/>
            <w:r w:rsidRPr="00E675D6">
              <w:rPr>
                <w:rFonts w:ascii="Times New Roman" w:eastAsia="Times New Roman" w:hAnsi="Times New Roman" w:cs="Times New Roman"/>
                <w:kern w:val="0"/>
                <w:sz w:val="24"/>
                <w:szCs w:val="24"/>
                <w:lang w:val="en-US"/>
                <w14:ligatures w14:val="none"/>
              </w:rPr>
              <w:t>Liquified</w:t>
            </w:r>
            <w:proofErr w:type="spellEnd"/>
            <w:r w:rsidRPr="00E675D6">
              <w:rPr>
                <w:rFonts w:ascii="Times New Roman" w:eastAsia="Times New Roman" w:hAnsi="Times New Roman" w:cs="Times New Roman"/>
                <w:kern w:val="0"/>
                <w:sz w:val="24"/>
                <w:szCs w:val="24"/>
                <w:lang w:val="en-US"/>
                <w14:ligatures w14:val="none"/>
              </w:rPr>
              <w:t xml:space="preserve"> gas carriers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v</w:t>
            </w:r>
            <w:r w:rsidRPr="00E675D6">
              <w:rPr>
                <w:rFonts w:ascii="Times New Roman" w:eastAsia="Times New Roman" w:hAnsi="Times New Roman" w:cs="Times New Roman"/>
                <w:kern w:val="0"/>
                <w:sz w:val="24"/>
                <w:szCs w:val="24"/>
                <w:lang w:val="en-US"/>
                <w14:ligatures w14:val="none"/>
              </w:rPr>
              <w:t>) Conventional large passenger vessels which are used for cruise purpose also</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vi</w:t>
            </w:r>
            <w:r w:rsidRPr="00E675D6">
              <w:rPr>
                <w:rFonts w:ascii="Times New Roman" w:eastAsia="Times New Roman" w:hAnsi="Times New Roman" w:cs="Times New Roman"/>
                <w:kern w:val="0"/>
                <w:sz w:val="24"/>
                <w:szCs w:val="24"/>
                <w:lang w:val="en-US"/>
                <w14:ligatures w14:val="none"/>
              </w:rPr>
              <w:t>) Coastal service ships of all categories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vii</w:t>
            </w:r>
            <w:r w:rsidRPr="00E675D6">
              <w:rPr>
                <w:rFonts w:ascii="Times New Roman" w:eastAsia="Times New Roman" w:hAnsi="Times New Roman" w:cs="Times New Roman"/>
                <w:kern w:val="0"/>
                <w:sz w:val="24"/>
                <w:szCs w:val="24"/>
                <w:lang w:val="en-US"/>
                <w14:ligatures w14:val="none"/>
              </w:rPr>
              <w:t>) Offshore supply and support vessels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viii</w:t>
            </w:r>
            <w:r w:rsidRPr="00E675D6">
              <w:rPr>
                <w:rFonts w:ascii="Times New Roman" w:eastAsia="Times New Roman" w:hAnsi="Times New Roman" w:cs="Times New Roman"/>
                <w:kern w:val="0"/>
                <w:sz w:val="24"/>
                <w:szCs w:val="24"/>
                <w:lang w:val="en-US"/>
                <w14:ligatures w14:val="none"/>
              </w:rPr>
              <w:t>) Catamarans and other high speed passenger for ships or boats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-do-</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ix</w:t>
            </w:r>
            <w:r w:rsidRPr="00E675D6">
              <w:rPr>
                <w:rFonts w:ascii="Times New Roman" w:eastAsia="Times New Roman" w:hAnsi="Times New Roman" w:cs="Times New Roman"/>
                <w:kern w:val="0"/>
                <w:sz w:val="24"/>
                <w:szCs w:val="24"/>
                <w:lang w:val="en-US"/>
                <w14:ligatures w14:val="none"/>
              </w:rPr>
              <w:t>) Drill ships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25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x</w:t>
            </w:r>
            <w:r w:rsidRPr="00E675D6">
              <w:rPr>
                <w:rFonts w:ascii="Times New Roman" w:eastAsia="Times New Roman" w:hAnsi="Times New Roman" w:cs="Times New Roman"/>
                <w:kern w:val="0"/>
                <w:sz w:val="24"/>
                <w:szCs w:val="24"/>
                <w:lang w:val="en-US"/>
                <w14:ligatures w14:val="none"/>
              </w:rPr>
              <w:t>) Hovercrafts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15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xi</w:t>
            </w:r>
            <w:r w:rsidRPr="00E675D6">
              <w:rPr>
                <w:rFonts w:ascii="Times New Roman" w:eastAsia="Times New Roman" w:hAnsi="Times New Roman" w:cs="Times New Roman"/>
                <w:kern w:val="0"/>
                <w:sz w:val="24"/>
                <w:szCs w:val="24"/>
                <w:lang w:val="en-US"/>
                <w14:ligatures w14:val="none"/>
              </w:rPr>
              <w:t>) Fishing vessels with wooden hull</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lastRenderedPageBreak/>
              <w:t>(</w:t>
            </w:r>
            <w:r w:rsidRPr="00E675D6">
              <w:rPr>
                <w:rFonts w:ascii="Times New Roman" w:eastAsia="Times New Roman" w:hAnsi="Times New Roman" w:cs="Times New Roman"/>
                <w:i/>
                <w:iCs/>
                <w:kern w:val="0"/>
                <w:sz w:val="24"/>
                <w:szCs w:val="24"/>
                <w:lang w:val="en-US"/>
                <w14:ligatures w14:val="none"/>
              </w:rPr>
              <w:t>xii</w:t>
            </w:r>
            <w:r w:rsidRPr="00E675D6">
              <w:rPr>
                <w:rFonts w:ascii="Times New Roman" w:eastAsia="Times New Roman" w:hAnsi="Times New Roman" w:cs="Times New Roman"/>
                <w:kern w:val="0"/>
                <w:sz w:val="24"/>
                <w:szCs w:val="24"/>
                <w:lang w:val="en-US"/>
                <w14:ligatures w14:val="none"/>
              </w:rPr>
              <w:t>) Dredgers, tugs, barges, survey launches and other similar ships used mainly for dredging purposes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14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 Vessels ordinarily operating on inland waters—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w:t>
            </w:r>
            <w:r w:rsidRPr="00E675D6">
              <w:rPr>
                <w:rFonts w:ascii="Times New Roman" w:eastAsia="Times New Roman" w:hAnsi="Times New Roman" w:cs="Times New Roman"/>
                <w:kern w:val="0"/>
                <w:sz w:val="24"/>
                <w:szCs w:val="24"/>
                <w:lang w:val="en-US"/>
                <w14:ligatures w14:val="none"/>
              </w:rPr>
              <w:t>) Speed boats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13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ii</w:t>
            </w:r>
            <w:r w:rsidRPr="00E675D6">
              <w:rPr>
                <w:rFonts w:ascii="Times New Roman" w:eastAsia="Times New Roman" w:hAnsi="Times New Roman" w:cs="Times New Roman"/>
                <w:kern w:val="0"/>
                <w:sz w:val="24"/>
                <w:szCs w:val="24"/>
                <w:lang w:val="en-US"/>
                <w14:ligatures w14:val="none"/>
              </w:rPr>
              <w:t>) Other vessels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28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VIII. Aircrafts or Helicopters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20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IX. Railways sidings, locomotives, rolling stocks, tramways and railways used by concerns, excluding railway concerns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15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X. Ropeway structures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15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XI. Office equipment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5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XII. Computers and data processing units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w:t>
            </w:r>
            <w:r w:rsidRPr="00E675D6">
              <w:rPr>
                <w:rFonts w:ascii="Times New Roman" w:eastAsia="Times New Roman" w:hAnsi="Times New Roman" w:cs="Times New Roman"/>
                <w:kern w:val="0"/>
                <w:sz w:val="24"/>
                <w:szCs w:val="24"/>
                <w:lang w:val="en-US"/>
                <w14:ligatures w14:val="none"/>
              </w:rPr>
              <w:t>) Servers and networks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6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ii</w:t>
            </w:r>
            <w:r w:rsidRPr="00E675D6">
              <w:rPr>
                <w:rFonts w:ascii="Times New Roman" w:eastAsia="Times New Roman" w:hAnsi="Times New Roman" w:cs="Times New Roman"/>
                <w:kern w:val="0"/>
                <w:sz w:val="24"/>
                <w:szCs w:val="24"/>
                <w:lang w:val="en-US"/>
                <w14:ligatures w14:val="none"/>
              </w:rPr>
              <w:t>) End user devices, such as, desktops, laptops, etc.</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XIII. Laboratory equipment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w:t>
            </w:r>
            <w:r w:rsidRPr="00E675D6">
              <w:rPr>
                <w:rFonts w:ascii="Times New Roman" w:eastAsia="Times New Roman" w:hAnsi="Times New Roman" w:cs="Times New Roman"/>
                <w:kern w:val="0"/>
                <w:sz w:val="24"/>
                <w:szCs w:val="24"/>
                <w:lang w:val="en-US"/>
                <w14:ligatures w14:val="none"/>
              </w:rPr>
              <w:t>) General laboratory equipment</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ii</w:t>
            </w:r>
            <w:r w:rsidRPr="00E675D6">
              <w:rPr>
                <w:rFonts w:ascii="Times New Roman" w:eastAsia="Times New Roman" w:hAnsi="Times New Roman" w:cs="Times New Roman"/>
                <w:kern w:val="0"/>
                <w:sz w:val="24"/>
                <w:szCs w:val="24"/>
                <w:lang w:val="en-US"/>
                <w14:ligatures w14:val="none"/>
              </w:rPr>
              <w:t xml:space="preserve">) Laboratory </w:t>
            </w:r>
            <w:proofErr w:type="spellStart"/>
            <w:r w:rsidRPr="00E675D6">
              <w:rPr>
                <w:rFonts w:ascii="Times New Roman" w:eastAsia="Times New Roman" w:hAnsi="Times New Roman" w:cs="Times New Roman"/>
                <w:kern w:val="0"/>
                <w:sz w:val="24"/>
                <w:szCs w:val="24"/>
                <w:lang w:val="en-US"/>
                <w14:ligatures w14:val="none"/>
              </w:rPr>
              <w:t>equipments</w:t>
            </w:r>
            <w:proofErr w:type="spellEnd"/>
            <w:r w:rsidRPr="00E675D6">
              <w:rPr>
                <w:rFonts w:ascii="Times New Roman" w:eastAsia="Times New Roman" w:hAnsi="Times New Roman" w:cs="Times New Roman"/>
                <w:kern w:val="0"/>
                <w:sz w:val="24"/>
                <w:szCs w:val="24"/>
                <w:lang w:val="en-US"/>
                <w14:ligatures w14:val="none"/>
              </w:rPr>
              <w:t xml:space="preserve"> used in educational institutions</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5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XIV. Electrical Installations and Equipment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10 years</w:t>
            </w:r>
          </w:p>
        </w:tc>
      </w:tr>
      <w:tr w:rsidR="00E675D6" w:rsidRPr="00E675D6" w:rsidTr="00E675D6">
        <w:tc>
          <w:tcPr>
            <w:tcW w:w="0" w:type="auto"/>
            <w:vAlign w:val="center"/>
            <w:hideMark/>
          </w:tcPr>
          <w:p w:rsidR="00E675D6" w:rsidRPr="00E675D6" w:rsidRDefault="00E675D6" w:rsidP="00E675D6">
            <w:pPr>
              <w:spacing w:after="80" w:line="240" w:lineRule="auto"/>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b/>
                <w:bCs/>
                <w:kern w:val="0"/>
                <w:sz w:val="24"/>
                <w:szCs w:val="24"/>
                <w:lang w:val="en-US"/>
                <w14:ligatures w14:val="none"/>
              </w:rPr>
              <w:t>XV. Hydraulic works, pipelines and sluices [NESD]</w:t>
            </w:r>
          </w:p>
        </w:tc>
        <w:tc>
          <w:tcPr>
            <w:tcW w:w="0" w:type="auto"/>
            <w:hideMark/>
          </w:tcPr>
          <w:p w:rsidR="00E675D6" w:rsidRPr="00E675D6" w:rsidRDefault="00E675D6" w:rsidP="00E675D6">
            <w:pPr>
              <w:spacing w:after="80" w:line="240" w:lineRule="auto"/>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15 Years</w:t>
            </w:r>
          </w:p>
        </w:tc>
      </w:tr>
    </w:tbl>
    <w:p w:rsidR="00E675D6" w:rsidRPr="00E675D6" w:rsidRDefault="00E675D6" w:rsidP="00E675D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E675D6">
        <w:rPr>
          <w:rFonts w:ascii="Times New Roman" w:eastAsia="Times New Roman" w:hAnsi="Times New Roman" w:cs="Times New Roman"/>
          <w:b/>
          <w:bCs/>
          <w:kern w:val="0"/>
          <w:sz w:val="24"/>
          <w:szCs w:val="24"/>
          <w:lang w:val="en-US"/>
          <w14:ligatures w14:val="none"/>
        </w:rPr>
        <w:t>Notes.—</w:t>
      </w:r>
      <w:proofErr w:type="gramEnd"/>
    </w:p>
    <w:p w:rsidR="00E675D6" w:rsidRPr="00E675D6" w:rsidRDefault="00E675D6" w:rsidP="00E675D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1. "Factory buildings" does not include offices, </w:t>
      </w:r>
      <w:proofErr w:type="spellStart"/>
      <w:r w:rsidRPr="00E675D6">
        <w:rPr>
          <w:rFonts w:ascii="Times New Roman" w:eastAsia="Times New Roman" w:hAnsi="Times New Roman" w:cs="Times New Roman"/>
          <w:kern w:val="0"/>
          <w:sz w:val="24"/>
          <w:szCs w:val="24"/>
          <w:lang w:val="en-US"/>
          <w14:ligatures w14:val="none"/>
        </w:rPr>
        <w:t>godowns</w:t>
      </w:r>
      <w:proofErr w:type="spellEnd"/>
      <w:r w:rsidRPr="00E675D6">
        <w:rPr>
          <w:rFonts w:ascii="Times New Roman" w:eastAsia="Times New Roman" w:hAnsi="Times New Roman" w:cs="Times New Roman"/>
          <w:kern w:val="0"/>
          <w:sz w:val="24"/>
          <w:szCs w:val="24"/>
          <w:lang w:val="en-US"/>
          <w14:ligatures w14:val="none"/>
        </w:rPr>
        <w:t xml:space="preserve">, </w:t>
      </w:r>
      <w:proofErr w:type="gramStart"/>
      <w:r w:rsidRPr="00E675D6">
        <w:rPr>
          <w:rFonts w:ascii="Times New Roman" w:eastAsia="Times New Roman" w:hAnsi="Times New Roman" w:cs="Times New Roman"/>
          <w:kern w:val="0"/>
          <w:sz w:val="24"/>
          <w:szCs w:val="24"/>
          <w:lang w:val="en-US"/>
          <w14:ligatures w14:val="none"/>
        </w:rPr>
        <w:t>staff</w:t>
      </w:r>
      <w:proofErr w:type="gramEnd"/>
      <w:r w:rsidRPr="00E675D6">
        <w:rPr>
          <w:rFonts w:ascii="Times New Roman" w:eastAsia="Times New Roman" w:hAnsi="Times New Roman" w:cs="Times New Roman"/>
          <w:kern w:val="0"/>
          <w:sz w:val="24"/>
          <w:szCs w:val="24"/>
          <w:lang w:val="en-US"/>
          <w14:ligatures w14:val="none"/>
        </w:rPr>
        <w:t xml:space="preserve"> quarters.</w:t>
      </w:r>
    </w:p>
    <w:p w:rsidR="00E675D6" w:rsidRPr="00E675D6" w:rsidRDefault="00E675D6" w:rsidP="00E675D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 xml:space="preserve">2. Where, during any financial year, any addition has been made to any asset, or where any asset has been sold, discarded, demolished or destroyed, the depreciation on such assets shall be calculated on a </w:t>
      </w:r>
      <w:r w:rsidRPr="00E675D6">
        <w:rPr>
          <w:rFonts w:ascii="Times New Roman" w:eastAsia="Times New Roman" w:hAnsi="Times New Roman" w:cs="Times New Roman"/>
          <w:i/>
          <w:iCs/>
          <w:kern w:val="0"/>
          <w:sz w:val="24"/>
          <w:szCs w:val="24"/>
          <w:lang w:val="en-US"/>
          <w14:ligatures w14:val="none"/>
        </w:rPr>
        <w:t xml:space="preserve">pro rata </w:t>
      </w:r>
      <w:r w:rsidRPr="00E675D6">
        <w:rPr>
          <w:rFonts w:ascii="Times New Roman" w:eastAsia="Times New Roman" w:hAnsi="Times New Roman" w:cs="Times New Roman"/>
          <w:kern w:val="0"/>
          <w:sz w:val="24"/>
          <w:szCs w:val="24"/>
          <w:lang w:val="en-US"/>
          <w14:ligatures w14:val="none"/>
        </w:rPr>
        <w:t>basis from the date of such addition or, as the case may be, up to the date on which such asset has been sold, discarded, demolished or destroyed.</w:t>
      </w:r>
    </w:p>
    <w:p w:rsidR="00E675D6" w:rsidRPr="00E675D6" w:rsidRDefault="00E675D6" w:rsidP="00E675D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3. The following information shall also be disclosed in the accounts, namely:—</w:t>
      </w:r>
    </w:p>
    <w:p w:rsidR="00E675D6" w:rsidRPr="00E675D6" w:rsidRDefault="00E675D6" w:rsidP="00E675D6">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w:t>
      </w:r>
      <w:r w:rsidRPr="00E675D6">
        <w:rPr>
          <w:rFonts w:ascii="Times New Roman" w:eastAsia="Times New Roman" w:hAnsi="Times New Roman" w:cs="Times New Roman"/>
          <w:kern w:val="0"/>
          <w:sz w:val="24"/>
          <w:szCs w:val="24"/>
          <w:lang w:val="en-US"/>
          <w14:ligatures w14:val="none"/>
        </w:rPr>
        <w:t xml:space="preserve">) </w:t>
      </w:r>
      <w:proofErr w:type="gramStart"/>
      <w:r w:rsidRPr="00E675D6">
        <w:rPr>
          <w:rFonts w:ascii="Times New Roman" w:eastAsia="Times New Roman" w:hAnsi="Times New Roman" w:cs="Times New Roman"/>
          <w:kern w:val="0"/>
          <w:sz w:val="24"/>
          <w:szCs w:val="24"/>
          <w:lang w:val="en-US"/>
          <w14:ligatures w14:val="none"/>
        </w:rPr>
        <w:t>depreciation</w:t>
      </w:r>
      <w:proofErr w:type="gramEnd"/>
      <w:r w:rsidRPr="00E675D6">
        <w:rPr>
          <w:rFonts w:ascii="Times New Roman" w:eastAsia="Times New Roman" w:hAnsi="Times New Roman" w:cs="Times New Roman"/>
          <w:kern w:val="0"/>
          <w:sz w:val="24"/>
          <w:szCs w:val="24"/>
          <w:lang w:val="en-US"/>
          <w14:ligatures w14:val="none"/>
        </w:rPr>
        <w:t xml:space="preserve"> methods used; and</w:t>
      </w:r>
    </w:p>
    <w:p w:rsidR="00E675D6" w:rsidRPr="00E675D6" w:rsidRDefault="00E675D6" w:rsidP="00E675D6">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ii</w:t>
      </w:r>
      <w:r w:rsidRPr="00E675D6">
        <w:rPr>
          <w:rFonts w:ascii="Times New Roman" w:eastAsia="Times New Roman" w:hAnsi="Times New Roman" w:cs="Times New Roman"/>
          <w:kern w:val="0"/>
          <w:sz w:val="24"/>
          <w:szCs w:val="24"/>
          <w:lang w:val="en-US"/>
          <w14:ligatures w14:val="none"/>
        </w:rPr>
        <w:t xml:space="preserve">) </w:t>
      </w:r>
      <w:proofErr w:type="gramStart"/>
      <w:r w:rsidRPr="00E675D6">
        <w:rPr>
          <w:rFonts w:ascii="Times New Roman" w:eastAsia="Times New Roman" w:hAnsi="Times New Roman" w:cs="Times New Roman"/>
          <w:kern w:val="0"/>
          <w:sz w:val="24"/>
          <w:szCs w:val="24"/>
          <w:lang w:val="en-US"/>
          <w14:ligatures w14:val="none"/>
        </w:rPr>
        <w:t>the</w:t>
      </w:r>
      <w:proofErr w:type="gramEnd"/>
      <w:r w:rsidRPr="00E675D6">
        <w:rPr>
          <w:rFonts w:ascii="Times New Roman" w:eastAsia="Times New Roman" w:hAnsi="Times New Roman" w:cs="Times New Roman"/>
          <w:kern w:val="0"/>
          <w:sz w:val="24"/>
          <w:szCs w:val="24"/>
          <w:lang w:val="en-US"/>
          <w14:ligatures w14:val="none"/>
        </w:rPr>
        <w:t xml:space="preserve"> useful lives of the assets for computing depreciation, if they are different from the life specified in the Schedule.</w:t>
      </w:r>
    </w:p>
    <w:p w:rsidR="00E675D6" w:rsidRPr="00E675D6" w:rsidRDefault="00E675D6" w:rsidP="00E675D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4. Useful life specified in Part C of the Schedule is for whole of the asset. Where cost of a part of the asset is significant to total cost of the asset and useful life of that part is different from the useful life of the remaining asset, useful life of that significant part shall be determined separately.</w:t>
      </w:r>
    </w:p>
    <w:p w:rsidR="00E675D6" w:rsidRPr="00E675D6" w:rsidRDefault="00E675D6" w:rsidP="00E675D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5. Depreciable amount is the cost of an asset, or other amount substituted for cost, less its residual value. Ordinarily, the residual value of an asset is often insignificant but it should generally be not more than 5% of the original cost of the asset.</w:t>
      </w:r>
    </w:p>
    <w:p w:rsidR="00E675D6" w:rsidRPr="00E675D6" w:rsidRDefault="00E675D6" w:rsidP="00E675D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lastRenderedPageBreak/>
        <w:t>6. The useful lives of assets working on shift basis have been specified in the Schedule based on their single shift working. Except for assets in respect of which no extra shift depreciation is permitted (indicated by NESD in Part C above), if an asset is used for any time during the year for double shift, the depreciation will increase by 50% for that period and in case of the triple shift the depreciation shall be calculated on the basis of 100% for that period.</w:t>
      </w:r>
    </w:p>
    <w:p w:rsidR="00E675D6" w:rsidRPr="00E675D6" w:rsidRDefault="00E675D6" w:rsidP="00E675D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7. From the date this Schedule comes into effect, the carrying amount of the asset as on that date—</w:t>
      </w:r>
    </w:p>
    <w:p w:rsidR="00E675D6" w:rsidRPr="00E675D6" w:rsidRDefault="00E675D6" w:rsidP="00E675D6">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a</w:t>
      </w:r>
      <w:r w:rsidRPr="00E675D6">
        <w:rPr>
          <w:rFonts w:ascii="Times New Roman" w:eastAsia="Times New Roman" w:hAnsi="Times New Roman" w:cs="Times New Roman"/>
          <w:kern w:val="0"/>
          <w:sz w:val="24"/>
          <w:szCs w:val="24"/>
          <w:lang w:val="en-US"/>
          <w14:ligatures w14:val="none"/>
        </w:rPr>
        <w:t xml:space="preserve">) </w:t>
      </w:r>
      <w:proofErr w:type="gramStart"/>
      <w:r w:rsidRPr="00E675D6">
        <w:rPr>
          <w:rFonts w:ascii="Times New Roman" w:eastAsia="Times New Roman" w:hAnsi="Times New Roman" w:cs="Times New Roman"/>
          <w:kern w:val="0"/>
          <w:sz w:val="24"/>
          <w:szCs w:val="24"/>
          <w:lang w:val="en-US"/>
          <w14:ligatures w14:val="none"/>
        </w:rPr>
        <w:t>shall</w:t>
      </w:r>
      <w:proofErr w:type="gramEnd"/>
      <w:r w:rsidRPr="00E675D6">
        <w:rPr>
          <w:rFonts w:ascii="Times New Roman" w:eastAsia="Times New Roman" w:hAnsi="Times New Roman" w:cs="Times New Roman"/>
          <w:kern w:val="0"/>
          <w:sz w:val="24"/>
          <w:szCs w:val="24"/>
          <w:lang w:val="en-US"/>
          <w14:ligatures w14:val="none"/>
        </w:rPr>
        <w:t xml:space="preserve"> be depreciated over the remaining useful life of the asset as per this Schedule;</w:t>
      </w:r>
    </w:p>
    <w:p w:rsidR="00E675D6" w:rsidRPr="00E675D6" w:rsidRDefault="00E675D6" w:rsidP="00E675D6">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w:t>
      </w:r>
      <w:r w:rsidRPr="00E675D6">
        <w:rPr>
          <w:rFonts w:ascii="Times New Roman" w:eastAsia="Times New Roman" w:hAnsi="Times New Roman" w:cs="Times New Roman"/>
          <w:i/>
          <w:iCs/>
          <w:kern w:val="0"/>
          <w:sz w:val="24"/>
          <w:szCs w:val="24"/>
          <w:lang w:val="en-US"/>
          <w14:ligatures w14:val="none"/>
        </w:rPr>
        <w:t>b</w:t>
      </w:r>
      <w:r w:rsidRPr="00E675D6">
        <w:rPr>
          <w:rFonts w:ascii="Times New Roman" w:eastAsia="Times New Roman" w:hAnsi="Times New Roman" w:cs="Times New Roman"/>
          <w:kern w:val="0"/>
          <w:sz w:val="24"/>
          <w:szCs w:val="24"/>
          <w:lang w:val="en-US"/>
          <w14:ligatures w14:val="none"/>
        </w:rPr>
        <w:t xml:space="preserve">) </w:t>
      </w:r>
      <w:proofErr w:type="gramStart"/>
      <w:r w:rsidRPr="00E675D6">
        <w:rPr>
          <w:rFonts w:ascii="Times New Roman" w:eastAsia="Times New Roman" w:hAnsi="Times New Roman" w:cs="Times New Roman"/>
          <w:kern w:val="0"/>
          <w:sz w:val="24"/>
          <w:szCs w:val="24"/>
          <w:lang w:val="en-US"/>
          <w14:ligatures w14:val="none"/>
        </w:rPr>
        <w:t>after</w:t>
      </w:r>
      <w:proofErr w:type="gramEnd"/>
      <w:r w:rsidRPr="00E675D6">
        <w:rPr>
          <w:rFonts w:ascii="Times New Roman" w:eastAsia="Times New Roman" w:hAnsi="Times New Roman" w:cs="Times New Roman"/>
          <w:kern w:val="0"/>
          <w:sz w:val="24"/>
          <w:szCs w:val="24"/>
          <w:lang w:val="en-US"/>
          <w14:ligatures w14:val="none"/>
        </w:rPr>
        <w:t xml:space="preserve"> retaining the residual value, shall be </w:t>
      </w:r>
      <w:proofErr w:type="spellStart"/>
      <w:r w:rsidRPr="00E675D6">
        <w:rPr>
          <w:rFonts w:ascii="Times New Roman" w:eastAsia="Times New Roman" w:hAnsi="Times New Roman" w:cs="Times New Roman"/>
          <w:kern w:val="0"/>
          <w:sz w:val="24"/>
          <w:szCs w:val="24"/>
          <w:lang w:val="en-US"/>
          <w14:ligatures w14:val="none"/>
        </w:rPr>
        <w:t>recognised</w:t>
      </w:r>
      <w:proofErr w:type="spellEnd"/>
      <w:r w:rsidRPr="00E675D6">
        <w:rPr>
          <w:rFonts w:ascii="Times New Roman" w:eastAsia="Times New Roman" w:hAnsi="Times New Roman" w:cs="Times New Roman"/>
          <w:kern w:val="0"/>
          <w:sz w:val="24"/>
          <w:szCs w:val="24"/>
          <w:lang w:val="en-US"/>
          <w14:ligatures w14:val="none"/>
        </w:rPr>
        <w:t xml:space="preserve"> in the opening balance of retained earnings where the remaining useful life of an asset is </w:t>
      </w:r>
      <w:r w:rsidRPr="00E675D6">
        <w:rPr>
          <w:rFonts w:ascii="Times New Roman" w:eastAsia="Times New Roman" w:hAnsi="Times New Roman" w:cs="Times New Roman"/>
          <w:i/>
          <w:iCs/>
          <w:kern w:val="0"/>
          <w:sz w:val="24"/>
          <w:szCs w:val="24"/>
          <w:lang w:val="en-US"/>
          <w14:ligatures w14:val="none"/>
        </w:rPr>
        <w:t>nil</w:t>
      </w:r>
      <w:r w:rsidRPr="00E675D6">
        <w:rPr>
          <w:rFonts w:ascii="Times New Roman" w:eastAsia="Times New Roman" w:hAnsi="Times New Roman" w:cs="Times New Roman"/>
          <w:kern w:val="0"/>
          <w:sz w:val="24"/>
          <w:szCs w:val="24"/>
          <w:lang w:val="en-US"/>
          <w14:ligatures w14:val="none"/>
        </w:rPr>
        <w:t>.</w:t>
      </w:r>
    </w:p>
    <w:p w:rsidR="00E675D6" w:rsidRPr="00E675D6" w:rsidRDefault="00E675D6" w:rsidP="00E675D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E675D6">
        <w:rPr>
          <w:rFonts w:ascii="Times New Roman" w:eastAsia="Times New Roman" w:hAnsi="Times New Roman" w:cs="Times New Roman"/>
          <w:kern w:val="0"/>
          <w:sz w:val="24"/>
          <w:szCs w:val="24"/>
          <w:lang w:val="en-US"/>
          <w14:ligatures w14:val="none"/>
        </w:rPr>
        <w:t>8. "Continuous process plant" means a plant which is required and designed to operate for twenty-four hours a day.</w:t>
      </w:r>
    </w:p>
    <w:p w:rsidR="00E675D6" w:rsidRDefault="00E675D6" w:rsidP="00E675D6">
      <w:pPr>
        <w:shd w:val="clear" w:color="auto" w:fill="FFFFFF"/>
        <w:spacing w:line="240" w:lineRule="auto"/>
        <w:rPr>
          <w:rFonts w:ascii="Verdana" w:eastAsia="Times New Roman" w:hAnsi="Verdana" w:cs="Times New Roman"/>
          <w:kern w:val="0"/>
          <w:sz w:val="17"/>
          <w:szCs w:val="17"/>
          <w:lang w:val="en-US"/>
          <w14:ligatures w14:val="none"/>
        </w:rPr>
      </w:pPr>
      <w:r w:rsidRPr="00E675D6">
        <w:rPr>
          <w:rFonts w:ascii="Verdana" w:eastAsia="Times New Roman" w:hAnsi="Verdana" w:cs="Times New Roman"/>
          <w:kern w:val="0"/>
          <w:sz w:val="17"/>
          <w:szCs w:val="17"/>
          <w:lang w:val="en-US"/>
          <w14:ligatures w14:val="none"/>
        </w:rPr>
        <w:br/>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t>***</w:t>
      </w:r>
    </w:p>
    <w:p w:rsidR="00E675D6" w:rsidRPr="00E675D6" w:rsidRDefault="00E675D6" w:rsidP="00E675D6">
      <w:pPr>
        <w:shd w:val="clear" w:color="auto" w:fill="FFFFFF"/>
        <w:spacing w:line="240" w:lineRule="auto"/>
        <w:rPr>
          <w:rFonts w:ascii="Verdana" w:eastAsia="Times New Roman" w:hAnsi="Verdana" w:cs="Times New Roman"/>
          <w:kern w:val="0"/>
          <w:sz w:val="17"/>
          <w:szCs w:val="17"/>
          <w:lang w:val="en-US"/>
          <w14:ligatures w14:val="none"/>
        </w:rPr>
      </w:pPr>
      <w:bookmarkStart w:id="0" w:name="_GoBack"/>
      <w:bookmarkEnd w:id="0"/>
      <w:r w:rsidRPr="00E675D6">
        <w:rPr>
          <w:rFonts w:ascii="Verdana" w:eastAsia="Times New Roman" w:hAnsi="Verdana" w:cs="Times New Roman"/>
          <w:kern w:val="0"/>
          <w:sz w:val="17"/>
          <w:szCs w:val="17"/>
          <w:lang w:val="en-US"/>
          <w14:ligatures w14:val="none"/>
        </w:rPr>
        <w:br/>
      </w:r>
    </w:p>
    <w:p w:rsidR="001765F1" w:rsidRDefault="001765F1"/>
    <w:sectPr w:rsidR="001765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5F1"/>
    <w:rsid w:val="001765F1"/>
    <w:rsid w:val="00E01D80"/>
    <w:rsid w:val="00E675D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1765F1"/>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1765F1"/>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E675D6"/>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1765F1"/>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1765F1"/>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E675D6"/>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506881">
      <w:bodyDiv w:val="1"/>
      <w:marLeft w:val="0"/>
      <w:marRight w:val="0"/>
      <w:marTop w:val="0"/>
      <w:marBottom w:val="0"/>
      <w:divBdr>
        <w:top w:val="none" w:sz="0" w:space="0" w:color="auto"/>
        <w:left w:val="none" w:sz="0" w:space="0" w:color="auto"/>
        <w:bottom w:val="none" w:sz="0" w:space="0" w:color="auto"/>
        <w:right w:val="none" w:sz="0" w:space="0" w:color="auto"/>
      </w:divBdr>
      <w:divsChild>
        <w:div w:id="1764910157">
          <w:marLeft w:val="0"/>
          <w:marRight w:val="0"/>
          <w:marTop w:val="0"/>
          <w:marBottom w:val="0"/>
          <w:divBdr>
            <w:top w:val="none" w:sz="0" w:space="0" w:color="auto"/>
            <w:left w:val="none" w:sz="0" w:space="0" w:color="auto"/>
            <w:bottom w:val="none" w:sz="0" w:space="0" w:color="auto"/>
            <w:right w:val="none" w:sz="0" w:space="0" w:color="auto"/>
          </w:divBdr>
          <w:divsChild>
            <w:div w:id="109587895">
              <w:marLeft w:val="0"/>
              <w:marRight w:val="0"/>
              <w:marTop w:val="525"/>
              <w:marBottom w:val="0"/>
              <w:divBdr>
                <w:top w:val="none" w:sz="0" w:space="0" w:color="auto"/>
                <w:left w:val="none" w:sz="0" w:space="0" w:color="auto"/>
                <w:bottom w:val="none" w:sz="0" w:space="0" w:color="auto"/>
                <w:right w:val="none" w:sz="0" w:space="0" w:color="auto"/>
              </w:divBdr>
              <w:divsChild>
                <w:div w:id="648899428">
                  <w:marLeft w:val="0"/>
                  <w:marRight w:val="0"/>
                  <w:marTop w:val="0"/>
                  <w:marBottom w:val="0"/>
                  <w:divBdr>
                    <w:top w:val="none" w:sz="0" w:space="0" w:color="auto"/>
                    <w:left w:val="none" w:sz="0" w:space="0" w:color="auto"/>
                    <w:bottom w:val="none" w:sz="0" w:space="0" w:color="auto"/>
                    <w:right w:val="none" w:sz="0" w:space="0" w:color="auto"/>
                  </w:divBdr>
                  <w:divsChild>
                    <w:div w:id="725224103">
                      <w:marLeft w:val="0"/>
                      <w:marRight w:val="0"/>
                      <w:marTop w:val="825"/>
                      <w:marBottom w:val="825"/>
                      <w:divBdr>
                        <w:top w:val="none" w:sz="0" w:space="0" w:color="auto"/>
                        <w:left w:val="none" w:sz="0" w:space="0" w:color="auto"/>
                        <w:bottom w:val="none" w:sz="0" w:space="0" w:color="auto"/>
                        <w:right w:val="none" w:sz="0" w:space="0" w:color="auto"/>
                      </w:divBdr>
                      <w:divsChild>
                        <w:div w:id="1225483275">
                          <w:marLeft w:val="0"/>
                          <w:marRight w:val="0"/>
                          <w:marTop w:val="150"/>
                          <w:marBottom w:val="0"/>
                          <w:divBdr>
                            <w:top w:val="none" w:sz="0" w:space="0" w:color="auto"/>
                            <w:left w:val="none" w:sz="0" w:space="0" w:color="auto"/>
                            <w:bottom w:val="none" w:sz="0" w:space="0" w:color="auto"/>
                            <w:right w:val="none" w:sz="0" w:space="0" w:color="auto"/>
                          </w:divBdr>
                          <w:divsChild>
                            <w:div w:id="209473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8604737">
      <w:bodyDiv w:val="1"/>
      <w:marLeft w:val="0"/>
      <w:marRight w:val="0"/>
      <w:marTop w:val="0"/>
      <w:marBottom w:val="0"/>
      <w:divBdr>
        <w:top w:val="none" w:sz="0" w:space="0" w:color="auto"/>
        <w:left w:val="none" w:sz="0" w:space="0" w:color="auto"/>
        <w:bottom w:val="none" w:sz="0" w:space="0" w:color="auto"/>
        <w:right w:val="none" w:sz="0" w:space="0" w:color="auto"/>
      </w:divBdr>
      <w:divsChild>
        <w:div w:id="280914765">
          <w:marLeft w:val="0"/>
          <w:marRight w:val="0"/>
          <w:marTop w:val="0"/>
          <w:marBottom w:val="0"/>
          <w:divBdr>
            <w:top w:val="none" w:sz="0" w:space="0" w:color="auto"/>
            <w:left w:val="none" w:sz="0" w:space="0" w:color="auto"/>
            <w:bottom w:val="none" w:sz="0" w:space="0" w:color="auto"/>
            <w:right w:val="none" w:sz="0" w:space="0" w:color="auto"/>
          </w:divBdr>
          <w:divsChild>
            <w:div w:id="56325766">
              <w:marLeft w:val="0"/>
              <w:marRight w:val="0"/>
              <w:marTop w:val="525"/>
              <w:marBottom w:val="0"/>
              <w:divBdr>
                <w:top w:val="none" w:sz="0" w:space="0" w:color="auto"/>
                <w:left w:val="none" w:sz="0" w:space="0" w:color="auto"/>
                <w:bottom w:val="none" w:sz="0" w:space="0" w:color="auto"/>
                <w:right w:val="none" w:sz="0" w:space="0" w:color="auto"/>
              </w:divBdr>
              <w:divsChild>
                <w:div w:id="107240464">
                  <w:marLeft w:val="0"/>
                  <w:marRight w:val="0"/>
                  <w:marTop w:val="0"/>
                  <w:marBottom w:val="0"/>
                  <w:divBdr>
                    <w:top w:val="none" w:sz="0" w:space="0" w:color="auto"/>
                    <w:left w:val="none" w:sz="0" w:space="0" w:color="auto"/>
                    <w:bottom w:val="none" w:sz="0" w:space="0" w:color="auto"/>
                    <w:right w:val="none" w:sz="0" w:space="0" w:color="auto"/>
                  </w:divBdr>
                  <w:divsChild>
                    <w:div w:id="1259482175">
                      <w:marLeft w:val="0"/>
                      <w:marRight w:val="0"/>
                      <w:marTop w:val="825"/>
                      <w:marBottom w:val="825"/>
                      <w:divBdr>
                        <w:top w:val="none" w:sz="0" w:space="0" w:color="auto"/>
                        <w:left w:val="none" w:sz="0" w:space="0" w:color="auto"/>
                        <w:bottom w:val="none" w:sz="0" w:space="0" w:color="auto"/>
                        <w:right w:val="none" w:sz="0" w:space="0" w:color="auto"/>
                      </w:divBdr>
                      <w:divsChild>
                        <w:div w:id="584534777">
                          <w:marLeft w:val="0"/>
                          <w:marRight w:val="0"/>
                          <w:marTop w:val="150"/>
                          <w:marBottom w:val="0"/>
                          <w:divBdr>
                            <w:top w:val="none" w:sz="0" w:space="0" w:color="auto"/>
                            <w:left w:val="none" w:sz="0" w:space="0" w:color="auto"/>
                            <w:bottom w:val="none" w:sz="0" w:space="0" w:color="auto"/>
                            <w:right w:val="none" w:sz="0" w:space="0" w:color="auto"/>
                          </w:divBdr>
                          <w:divsChild>
                            <w:div w:id="187087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5547208">
      <w:bodyDiv w:val="1"/>
      <w:marLeft w:val="0"/>
      <w:marRight w:val="0"/>
      <w:marTop w:val="0"/>
      <w:marBottom w:val="0"/>
      <w:divBdr>
        <w:top w:val="none" w:sz="0" w:space="0" w:color="auto"/>
        <w:left w:val="none" w:sz="0" w:space="0" w:color="auto"/>
        <w:bottom w:val="none" w:sz="0" w:space="0" w:color="auto"/>
        <w:right w:val="none" w:sz="0" w:space="0" w:color="auto"/>
      </w:divBdr>
      <w:divsChild>
        <w:div w:id="522984949">
          <w:marLeft w:val="0"/>
          <w:marRight w:val="0"/>
          <w:marTop w:val="0"/>
          <w:marBottom w:val="0"/>
          <w:divBdr>
            <w:top w:val="none" w:sz="0" w:space="0" w:color="auto"/>
            <w:left w:val="none" w:sz="0" w:space="0" w:color="auto"/>
            <w:bottom w:val="none" w:sz="0" w:space="0" w:color="auto"/>
            <w:right w:val="none" w:sz="0" w:space="0" w:color="auto"/>
          </w:divBdr>
          <w:divsChild>
            <w:div w:id="896354130">
              <w:marLeft w:val="0"/>
              <w:marRight w:val="0"/>
              <w:marTop w:val="525"/>
              <w:marBottom w:val="0"/>
              <w:divBdr>
                <w:top w:val="none" w:sz="0" w:space="0" w:color="auto"/>
                <w:left w:val="none" w:sz="0" w:space="0" w:color="auto"/>
                <w:bottom w:val="none" w:sz="0" w:space="0" w:color="auto"/>
                <w:right w:val="none" w:sz="0" w:space="0" w:color="auto"/>
              </w:divBdr>
              <w:divsChild>
                <w:div w:id="147669275">
                  <w:marLeft w:val="0"/>
                  <w:marRight w:val="0"/>
                  <w:marTop w:val="0"/>
                  <w:marBottom w:val="0"/>
                  <w:divBdr>
                    <w:top w:val="none" w:sz="0" w:space="0" w:color="auto"/>
                    <w:left w:val="none" w:sz="0" w:space="0" w:color="auto"/>
                    <w:bottom w:val="none" w:sz="0" w:space="0" w:color="auto"/>
                    <w:right w:val="none" w:sz="0" w:space="0" w:color="auto"/>
                  </w:divBdr>
                  <w:divsChild>
                    <w:div w:id="963846687">
                      <w:marLeft w:val="0"/>
                      <w:marRight w:val="0"/>
                      <w:marTop w:val="825"/>
                      <w:marBottom w:val="825"/>
                      <w:divBdr>
                        <w:top w:val="none" w:sz="0" w:space="0" w:color="auto"/>
                        <w:left w:val="none" w:sz="0" w:space="0" w:color="auto"/>
                        <w:bottom w:val="none" w:sz="0" w:space="0" w:color="auto"/>
                        <w:right w:val="none" w:sz="0" w:space="0" w:color="auto"/>
                      </w:divBdr>
                      <w:divsChild>
                        <w:div w:id="1949922727">
                          <w:marLeft w:val="0"/>
                          <w:marRight w:val="0"/>
                          <w:marTop w:val="150"/>
                          <w:marBottom w:val="0"/>
                          <w:divBdr>
                            <w:top w:val="none" w:sz="0" w:space="0" w:color="auto"/>
                            <w:left w:val="none" w:sz="0" w:space="0" w:color="auto"/>
                            <w:bottom w:val="none" w:sz="0" w:space="0" w:color="auto"/>
                            <w:right w:val="none" w:sz="0" w:space="0" w:color="auto"/>
                          </w:divBdr>
                          <w:divsChild>
                            <w:div w:id="70467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1710067">
      <w:bodyDiv w:val="1"/>
      <w:marLeft w:val="0"/>
      <w:marRight w:val="0"/>
      <w:marTop w:val="0"/>
      <w:marBottom w:val="0"/>
      <w:divBdr>
        <w:top w:val="none" w:sz="0" w:space="0" w:color="auto"/>
        <w:left w:val="none" w:sz="0" w:space="0" w:color="auto"/>
        <w:bottom w:val="none" w:sz="0" w:space="0" w:color="auto"/>
        <w:right w:val="none" w:sz="0" w:space="0" w:color="auto"/>
      </w:divBdr>
      <w:divsChild>
        <w:div w:id="1945531155">
          <w:marLeft w:val="0"/>
          <w:marRight w:val="0"/>
          <w:marTop w:val="0"/>
          <w:marBottom w:val="0"/>
          <w:divBdr>
            <w:top w:val="none" w:sz="0" w:space="0" w:color="auto"/>
            <w:left w:val="none" w:sz="0" w:space="0" w:color="auto"/>
            <w:bottom w:val="none" w:sz="0" w:space="0" w:color="auto"/>
            <w:right w:val="none" w:sz="0" w:space="0" w:color="auto"/>
          </w:divBdr>
          <w:divsChild>
            <w:div w:id="1676955476">
              <w:marLeft w:val="0"/>
              <w:marRight w:val="0"/>
              <w:marTop w:val="525"/>
              <w:marBottom w:val="0"/>
              <w:divBdr>
                <w:top w:val="none" w:sz="0" w:space="0" w:color="auto"/>
                <w:left w:val="none" w:sz="0" w:space="0" w:color="auto"/>
                <w:bottom w:val="none" w:sz="0" w:space="0" w:color="auto"/>
                <w:right w:val="none" w:sz="0" w:space="0" w:color="auto"/>
              </w:divBdr>
              <w:divsChild>
                <w:div w:id="2119133057">
                  <w:marLeft w:val="0"/>
                  <w:marRight w:val="0"/>
                  <w:marTop w:val="0"/>
                  <w:marBottom w:val="0"/>
                  <w:divBdr>
                    <w:top w:val="none" w:sz="0" w:space="0" w:color="auto"/>
                    <w:left w:val="none" w:sz="0" w:space="0" w:color="auto"/>
                    <w:bottom w:val="none" w:sz="0" w:space="0" w:color="auto"/>
                    <w:right w:val="none" w:sz="0" w:space="0" w:color="auto"/>
                  </w:divBdr>
                  <w:divsChild>
                    <w:div w:id="106780201">
                      <w:marLeft w:val="0"/>
                      <w:marRight w:val="0"/>
                      <w:marTop w:val="825"/>
                      <w:marBottom w:val="825"/>
                      <w:divBdr>
                        <w:top w:val="none" w:sz="0" w:space="0" w:color="auto"/>
                        <w:left w:val="none" w:sz="0" w:space="0" w:color="auto"/>
                        <w:bottom w:val="none" w:sz="0" w:space="0" w:color="auto"/>
                        <w:right w:val="none" w:sz="0" w:space="0" w:color="auto"/>
                      </w:divBdr>
                      <w:divsChild>
                        <w:div w:id="52429391">
                          <w:marLeft w:val="0"/>
                          <w:marRight w:val="0"/>
                          <w:marTop w:val="150"/>
                          <w:marBottom w:val="0"/>
                          <w:divBdr>
                            <w:top w:val="none" w:sz="0" w:space="0" w:color="auto"/>
                            <w:left w:val="none" w:sz="0" w:space="0" w:color="auto"/>
                            <w:bottom w:val="none" w:sz="0" w:space="0" w:color="auto"/>
                            <w:right w:val="none" w:sz="0" w:space="0" w:color="auto"/>
                          </w:divBdr>
                          <w:divsChild>
                            <w:div w:id="13241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8868564">
      <w:bodyDiv w:val="1"/>
      <w:marLeft w:val="0"/>
      <w:marRight w:val="0"/>
      <w:marTop w:val="0"/>
      <w:marBottom w:val="0"/>
      <w:divBdr>
        <w:top w:val="none" w:sz="0" w:space="0" w:color="auto"/>
        <w:left w:val="none" w:sz="0" w:space="0" w:color="auto"/>
        <w:bottom w:val="none" w:sz="0" w:space="0" w:color="auto"/>
        <w:right w:val="none" w:sz="0" w:space="0" w:color="auto"/>
      </w:divBdr>
      <w:divsChild>
        <w:div w:id="1488323834">
          <w:marLeft w:val="0"/>
          <w:marRight w:val="0"/>
          <w:marTop w:val="0"/>
          <w:marBottom w:val="0"/>
          <w:divBdr>
            <w:top w:val="none" w:sz="0" w:space="0" w:color="auto"/>
            <w:left w:val="none" w:sz="0" w:space="0" w:color="auto"/>
            <w:bottom w:val="none" w:sz="0" w:space="0" w:color="auto"/>
            <w:right w:val="none" w:sz="0" w:space="0" w:color="auto"/>
          </w:divBdr>
          <w:divsChild>
            <w:div w:id="409280303">
              <w:marLeft w:val="0"/>
              <w:marRight w:val="0"/>
              <w:marTop w:val="525"/>
              <w:marBottom w:val="0"/>
              <w:divBdr>
                <w:top w:val="none" w:sz="0" w:space="0" w:color="auto"/>
                <w:left w:val="none" w:sz="0" w:space="0" w:color="auto"/>
                <w:bottom w:val="none" w:sz="0" w:space="0" w:color="auto"/>
                <w:right w:val="none" w:sz="0" w:space="0" w:color="auto"/>
              </w:divBdr>
              <w:divsChild>
                <w:div w:id="1059011735">
                  <w:marLeft w:val="0"/>
                  <w:marRight w:val="0"/>
                  <w:marTop w:val="0"/>
                  <w:marBottom w:val="0"/>
                  <w:divBdr>
                    <w:top w:val="none" w:sz="0" w:space="0" w:color="auto"/>
                    <w:left w:val="none" w:sz="0" w:space="0" w:color="auto"/>
                    <w:bottom w:val="none" w:sz="0" w:space="0" w:color="auto"/>
                    <w:right w:val="none" w:sz="0" w:space="0" w:color="auto"/>
                  </w:divBdr>
                  <w:divsChild>
                    <w:div w:id="1949503737">
                      <w:marLeft w:val="0"/>
                      <w:marRight w:val="0"/>
                      <w:marTop w:val="825"/>
                      <w:marBottom w:val="825"/>
                      <w:divBdr>
                        <w:top w:val="none" w:sz="0" w:space="0" w:color="auto"/>
                        <w:left w:val="none" w:sz="0" w:space="0" w:color="auto"/>
                        <w:bottom w:val="none" w:sz="0" w:space="0" w:color="auto"/>
                        <w:right w:val="none" w:sz="0" w:space="0" w:color="auto"/>
                      </w:divBdr>
                      <w:divsChild>
                        <w:div w:id="787897206">
                          <w:marLeft w:val="0"/>
                          <w:marRight w:val="0"/>
                          <w:marTop w:val="150"/>
                          <w:marBottom w:val="0"/>
                          <w:divBdr>
                            <w:top w:val="none" w:sz="0" w:space="0" w:color="auto"/>
                            <w:left w:val="none" w:sz="0" w:space="0" w:color="auto"/>
                            <w:bottom w:val="none" w:sz="0" w:space="0" w:color="auto"/>
                            <w:right w:val="none" w:sz="0" w:space="0" w:color="auto"/>
                          </w:divBdr>
                          <w:divsChild>
                            <w:div w:id="671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6765220">
      <w:bodyDiv w:val="1"/>
      <w:marLeft w:val="0"/>
      <w:marRight w:val="0"/>
      <w:marTop w:val="0"/>
      <w:marBottom w:val="0"/>
      <w:divBdr>
        <w:top w:val="none" w:sz="0" w:space="0" w:color="auto"/>
        <w:left w:val="none" w:sz="0" w:space="0" w:color="auto"/>
        <w:bottom w:val="none" w:sz="0" w:space="0" w:color="auto"/>
        <w:right w:val="none" w:sz="0" w:space="0" w:color="auto"/>
      </w:divBdr>
      <w:divsChild>
        <w:div w:id="152111521">
          <w:marLeft w:val="0"/>
          <w:marRight w:val="0"/>
          <w:marTop w:val="0"/>
          <w:marBottom w:val="0"/>
          <w:divBdr>
            <w:top w:val="none" w:sz="0" w:space="0" w:color="auto"/>
            <w:left w:val="none" w:sz="0" w:space="0" w:color="auto"/>
            <w:bottom w:val="none" w:sz="0" w:space="0" w:color="auto"/>
            <w:right w:val="none" w:sz="0" w:space="0" w:color="auto"/>
          </w:divBdr>
          <w:divsChild>
            <w:div w:id="1918713120">
              <w:marLeft w:val="0"/>
              <w:marRight w:val="0"/>
              <w:marTop w:val="525"/>
              <w:marBottom w:val="0"/>
              <w:divBdr>
                <w:top w:val="none" w:sz="0" w:space="0" w:color="auto"/>
                <w:left w:val="none" w:sz="0" w:space="0" w:color="auto"/>
                <w:bottom w:val="none" w:sz="0" w:space="0" w:color="auto"/>
                <w:right w:val="none" w:sz="0" w:space="0" w:color="auto"/>
              </w:divBdr>
              <w:divsChild>
                <w:div w:id="692801001">
                  <w:marLeft w:val="0"/>
                  <w:marRight w:val="0"/>
                  <w:marTop w:val="0"/>
                  <w:marBottom w:val="0"/>
                  <w:divBdr>
                    <w:top w:val="none" w:sz="0" w:space="0" w:color="auto"/>
                    <w:left w:val="none" w:sz="0" w:space="0" w:color="auto"/>
                    <w:bottom w:val="none" w:sz="0" w:space="0" w:color="auto"/>
                    <w:right w:val="none" w:sz="0" w:space="0" w:color="auto"/>
                  </w:divBdr>
                  <w:divsChild>
                    <w:div w:id="1967656945">
                      <w:marLeft w:val="0"/>
                      <w:marRight w:val="0"/>
                      <w:marTop w:val="825"/>
                      <w:marBottom w:val="825"/>
                      <w:divBdr>
                        <w:top w:val="none" w:sz="0" w:space="0" w:color="auto"/>
                        <w:left w:val="none" w:sz="0" w:space="0" w:color="auto"/>
                        <w:bottom w:val="none" w:sz="0" w:space="0" w:color="auto"/>
                        <w:right w:val="none" w:sz="0" w:space="0" w:color="auto"/>
                      </w:divBdr>
                      <w:divsChild>
                        <w:div w:id="1253317350">
                          <w:marLeft w:val="0"/>
                          <w:marRight w:val="0"/>
                          <w:marTop w:val="150"/>
                          <w:marBottom w:val="0"/>
                          <w:divBdr>
                            <w:top w:val="none" w:sz="0" w:space="0" w:color="auto"/>
                            <w:left w:val="none" w:sz="0" w:space="0" w:color="auto"/>
                            <w:bottom w:val="none" w:sz="0" w:space="0" w:color="auto"/>
                            <w:right w:val="none" w:sz="0" w:space="0" w:color="auto"/>
                          </w:divBdr>
                          <w:divsChild>
                            <w:div w:id="150597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3761</Words>
  <Characters>21441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2013-09-10T09:38:00Z</dcterms:created>
  <dcterms:modified xsi:type="dcterms:W3CDTF">2013-09-11T16:37:00Z</dcterms:modified>
</cp:coreProperties>
</file>